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1"/>
        <w:ind w:left="4394" w:firstLine="0"/>
      </w:pPr>
      <w:r/>
      <w:r/>
    </w:p>
    <w:p>
      <w:pPr>
        <w:pStyle w:val="641"/>
        <w:ind w:left="4394" w:firstLine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41"/>
        <w:ind w:left="4394" w:firstLine="0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Приложение № 1</w:t>
      </w:r>
      <w:r>
        <w:t xml:space="preserve"> </w:t>
      </w:r>
      <w:r>
        <w:rPr>
          <w:sz w:val="22"/>
          <w:szCs w:val="22"/>
        </w:rPr>
        <w:t xml:space="preserve">к Техническим требованиям </w:t>
      </w:r>
      <w:r>
        <w:rPr>
          <w:sz w:val="22"/>
          <w:szCs w:val="22"/>
        </w:rPr>
      </w:r>
    </w:p>
    <w:p>
      <w:pPr>
        <w:pStyle w:val="641"/>
        <w:ind w:left="4394" w:firstLine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41"/>
        <w:jc w:val="center"/>
        <w:widowControl/>
        <w:tabs>
          <w:tab w:val="clear" w:pos="708" w:leader="none"/>
          <w:tab w:val="left" w:pos="82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41"/>
        <w:jc w:val="center"/>
        <w:widowControl/>
        <w:tabs>
          <w:tab w:val="clear" w:pos="708" w:leader="none"/>
          <w:tab w:val="left" w:pos="82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41"/>
        <w:jc w:val="center"/>
        <w:widowControl/>
        <w:tabs>
          <w:tab w:val="clear" w:pos="708" w:leader="none"/>
          <w:tab w:val="left" w:pos="82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ЗАДАНИЕ </w:t>
      </w:r>
      <w:r>
        <w:rPr>
          <w:sz w:val="24"/>
          <w:szCs w:val="24"/>
        </w:rPr>
      </w:r>
    </w:p>
    <w:p>
      <w:pPr>
        <w:pStyle w:val="641"/>
        <w:jc w:val="center"/>
        <w:keepLines/>
        <w:keepNext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ОКДП2:  71.12. Выполнение работ по техническому перевооружению, с переводом котлоагрегатов ст. №1,2,3,4,5,6 СП Николаевская ТЭЦ на резервное дизельное топливо.(ПИР), г. Николаевск-на-Амуре.               </w:t>
      </w:r>
      <w:r>
        <w:rPr>
          <w:sz w:val="24"/>
          <w:szCs w:val="24"/>
        </w:rPr>
      </w:r>
    </w:p>
    <w:p>
      <w:pPr>
        <w:pStyle w:val="641"/>
        <w:jc w:val="center"/>
        <w:widowControl/>
        <w:tabs>
          <w:tab w:val="clear" w:pos="708" w:leader="none"/>
          <w:tab w:val="left" w:pos="8280" w:leader="none"/>
        </w:tabs>
        <w:rPr>
          <w:sz w:val="22"/>
          <w:szCs w:val="24"/>
          <w:lang w:eastAsia="en-US"/>
        </w:rPr>
      </w:pPr>
      <w:r>
        <w:rPr>
          <w:sz w:val="22"/>
          <w:szCs w:val="24"/>
          <w:lang w:eastAsia="en-US"/>
        </w:rPr>
      </w:r>
      <w:r>
        <w:rPr>
          <w:sz w:val="22"/>
          <w:szCs w:val="24"/>
          <w:lang w:eastAsia="en-US"/>
        </w:rPr>
      </w:r>
    </w:p>
    <w:tbl>
      <w:tblPr>
        <w:tblW w:w="10356" w:type="dxa"/>
        <w:tblInd w:w="-10" w:type="dxa"/>
        <w:tblLayout w:type="fixed"/>
        <w:tblCellMar>
          <w:left w:w="5" w:type="dxa"/>
          <w:top w:w="0" w:type="dxa"/>
          <w:right w:w="5" w:type="dxa"/>
          <w:bottom w:w="0" w:type="dxa"/>
        </w:tblCellMar>
        <w:tblLook w:val="0000" w:firstRow="0" w:lastRow="0" w:firstColumn="0" w:lastColumn="0" w:noHBand="0" w:noVBand="0"/>
      </w:tblPr>
      <w:tblGrid>
        <w:gridCol w:w="596"/>
        <w:gridCol w:w="2100"/>
        <w:gridCol w:w="7660"/>
      </w:tblGrid>
      <w:tr>
        <w:tblPrEx/>
        <w:trPr>
          <w:trHeight w:val="787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right="200" w:firstLine="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vAlign w:val="center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03" w:firstLine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разделов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641"/>
              <w:ind w:left="142" w:right="122" w:firstLine="0"/>
              <w:jc w:val="center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раздела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rStyle w:val="695"/>
                <w:rFonts w:eastAsia="Calibri" w:eastAsiaTheme="minorHAnsi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sz w:val="24"/>
                <w:szCs w:val="24"/>
              </w:rPr>
              <w:t xml:space="preserve">1</w:t>
            </w:r>
            <w:r>
              <w:rPr>
                <w:rStyle w:val="695"/>
                <w:rFonts w:eastAsia="Calibri" w:eastAsiaTheme="minorHAnsi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  <w:rPr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  <w:t xml:space="preserve">Основание для разработки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641"/>
              <w:ind w:left="142" w:right="122" w:firstLine="0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Инвестиционная программа АО «ДГК» на 2025 - 2030 гг.</w:t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pStyle w:val="641"/>
              <w:ind w:left="142" w:right="122" w:firstLine="0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Протокол АО «ДГК» от 22.01.2025 №24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46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rStyle w:val="695"/>
                <w:rFonts w:eastAsia="Calibri" w:eastAsiaTheme="minorHAnsi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sz w:val="24"/>
                <w:szCs w:val="24"/>
              </w:rPr>
              <w:t xml:space="preserve">2</w:t>
            </w:r>
            <w:r>
              <w:rPr>
                <w:rStyle w:val="695"/>
                <w:rFonts w:eastAsia="Calibri" w:eastAsiaTheme="minorHAnsi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  <w:t xml:space="preserve">Заказчик</w:t>
            </w:r>
            <w:r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641"/>
              <w:ind w:left="142" w:right="122" w:firstLine="0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  <w:t xml:space="preserve">АО «ДГК» СП «Николаевская ТЭЦ».</w:t>
            </w:r>
            <w:r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rStyle w:val="695"/>
                <w:rFonts w:eastAsia="Calibri" w:eastAsiaTheme="minorHAnsi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sz w:val="24"/>
                <w:szCs w:val="24"/>
              </w:rPr>
              <w:t xml:space="preserve">3</w:t>
            </w:r>
            <w:r>
              <w:rPr>
                <w:rStyle w:val="695"/>
                <w:rFonts w:eastAsia="Calibri" w:eastAsiaTheme="minorHAnsi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</w:pPr>
            <w:r>
              <w:rPr>
                <w:sz w:val="24"/>
                <w:szCs w:val="24"/>
              </w:rPr>
              <w:t xml:space="preserve">Район строительства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Хабаровский край, г. Николаевск-на-Амуре, Николаевская ТЭЦ (территория действующего предприятия)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Сейсмичность района строительства - 8 балов согласно карте ОСР-2015-В СП 14.13330.2018 (СНиП 11-7-81).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rStyle w:val="695"/>
                <w:rFonts w:eastAsia="Calibri" w:eastAsiaTheme="minorHAnsi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sz w:val="24"/>
                <w:szCs w:val="24"/>
              </w:rPr>
              <w:t xml:space="preserve">4</w:t>
            </w:r>
            <w:r>
              <w:rPr>
                <w:rStyle w:val="695"/>
                <w:rFonts w:eastAsia="Calibri" w:eastAsiaTheme="minorHAnsi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работы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641"/>
              <w:jc w:val="both"/>
              <w:spacing w:before="0" w:after="0"/>
              <w:shd w:val="clear" w:color="ffffff" w:themeColor="background1" w:fill="ffffff" w:themeFill="background1"/>
              <w:widowControl w:val="off"/>
              <w:tabs>
                <w:tab w:val="clear" w:pos="708" w:leader="none"/>
                <w:tab w:val="left" w:pos="1149" w:leader="none"/>
                <w:tab w:val="left" w:pos="1436" w:leader="none"/>
              </w:tabs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val="ru-RU" w:eastAsia="ar-SA" w:bidi="ar-SA"/>
              </w:rPr>
              <w:t xml:space="preserve">Разработка технических решений по техперевооружению 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highlight w:val="white"/>
                <w:lang w:val="ru-RU" w:eastAsia="ar-SA" w:bidi="ar-SA"/>
              </w:rPr>
              <w:t xml:space="preserve">котлоагрегатов ст. №1,2,3,4,5,6  с переводом на резервное дизельное топливо с учетом транспортно-заготовительных расходов.</w:t>
            </w:r>
            <w:r>
              <w:rPr>
                <w:sz w:val="22"/>
                <w:szCs w:val="22"/>
                <w:highlight w:val="white"/>
                <w:lang w:val="ru-RU" w:eastAsia="ru-RU" w:bidi="ar-SA"/>
              </w:rPr>
              <w:t xml:space="preserve"> Выбор основного варианта с учетом анализа выбранной логистики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67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  <w:t xml:space="preserve">Стадийность проектирования</w:t>
            </w:r>
            <w:r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Одностадийное. Основные технические решения.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en-US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  <w:rPr>
                <w:rStyle w:val="695"/>
                <w:rFonts w:eastAsia="Calibri" w:eastAsiaTheme="minorHAnsi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Этапы 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работ</w:t>
            </w:r>
            <w:r>
              <w:rPr>
                <w:rStyle w:val="695"/>
                <w:rFonts w:eastAsia="Calibri" w:eastAsiaTheme="minorHAnsi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730"/>
              <w:numPr>
                <w:ilvl w:val="0"/>
                <w:numId w:val="1"/>
              </w:numPr>
              <w:contextualSpacing/>
              <w:ind w:left="142" w:right="0" w:firstLine="0"/>
              <w:spacing w:before="0" w:after="0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Сбор исходных данных,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eastAsia="ar-SA"/>
              </w:rPr>
              <w:t xml:space="preserve"> анализ технических и эксплуатационных характеристик.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730"/>
              <w:numPr>
                <w:ilvl w:val="0"/>
                <w:numId w:val="1"/>
              </w:numPr>
              <w:contextualSpacing w:val="0"/>
              <w:ind w:left="142" w:right="0" w:firstLine="0"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ar-SA"/>
              </w:rPr>
              <w:t xml:space="preserve">Разработка технических решений по техперевооружению 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eastAsia="ar-SA"/>
              </w:rPr>
              <w:t xml:space="preserve">котлоагрегатов ст. №1,2,3,4,5,6  с переводом на резервное дизельное топливо с учетом транспортно-заготовительных расходов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567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rStyle w:val="695"/>
                <w:rFonts w:eastAsia="Calibri" w:eastAsiaTheme="minorHAnsi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sz w:val="24"/>
                <w:szCs w:val="24"/>
              </w:rPr>
              <w:t xml:space="preserve">7</w:t>
            </w:r>
            <w:r>
              <w:rPr>
                <w:rStyle w:val="695"/>
                <w:rFonts w:eastAsia="Calibri" w:eastAsiaTheme="minorHAnsi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характеристики </w:t>
            </w:r>
            <w:r>
              <w:rPr>
                <w:sz w:val="24"/>
                <w:szCs w:val="24"/>
                <w:lang w:eastAsia="en-US"/>
              </w:rPr>
              <w:t xml:space="preserve">объекта проектирования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03" w:firstLine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Хабаровский край, г.Николаевск-на-Амуре район приравненный к крайнему северу, на левом берегу р.Амур в водоохранной зоне, Категории водного объекта рыбохозяйственного значения: высшая.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Ближайшая жилая застройка от границы промышленной площадки ТЭЦ находится на расстоянии – 150 – 160 м к северу. Рельеф площадки спокойный с уклоном в южном направлении.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размещения объекта - производственная площадка ТЭЦ, мазутное хозяйство, в водоохранной зоне рыбохозяйственного назначения.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Николаевская ТЭЦ является основным и единственным источником электрической и тепловой энергии в Николаевском изолированном энергорайоне, численностью около 30 тыс. человек.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Основной вид деятельности: производство электрической и тепловой энергии.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Сейсмичность района: не ниже 8 баллов.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Высота над уровнем моря 29 м.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Установленная электрическая мощность станции - 130,6 МВт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Энергетические котлы в составе БКЗ 75-39 ФБ и БКЗ 160-100 ГМ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Паротурбинные установки ПТ 12-35/10М и К(Т) 50-90-4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Турбогенератор в составе паротурбинной установки Т2-12-2 и ТВФ-63-2У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Основной вид топлива: природный газ.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Резервным топливом для обеспечения производственной программы станции является топочный мазут марки М-100.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территории Николаевской ТЭЦ установлен Расходный склад мазута (РСМ) содержащий два резервуара вертикальных стальных №1, №2 объем каждого по 5000 м</w:t>
            </w:r>
            <w:r>
              <w:rPr>
                <w:sz w:val="24"/>
                <w:szCs w:val="24"/>
                <w:vertAlign w:val="superscript"/>
              </w:rPr>
              <w:t xml:space="preserve">3</w:t>
            </w:r>
            <w:r>
              <w:rPr>
                <w:sz w:val="24"/>
                <w:szCs w:val="24"/>
              </w:rPr>
              <w:t xml:space="preserve">. Резервуар №2 является рабочим, из которого топливо поступает в котлотурбинный цех, резервуар №1 является резервным в который принимается топливо при раскачке барж в навигационный период, по окончанию раскачки и </w:t>
            </w:r>
            <w:r>
              <w:rPr>
                <w:sz w:val="24"/>
                <w:szCs w:val="24"/>
              </w:rPr>
              <w:t xml:space="preserve">выполнению контрольных замеров часть топлива перекачивается в рабочий резервуар №2 для поддержания рабочего уровня. Основной объем топлива перекачивается по мазутопроводу с паровыми спутниками на нефтебазу ТЭЦ, удаленную от основной площадки ТЭЦ на 5,7 км.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Хранен</w:t>
            </w:r>
            <w:r>
              <w:rPr>
                <w:sz w:val="24"/>
                <w:szCs w:val="24"/>
              </w:rPr>
              <w:t xml:space="preserve">ие топочного мазута организовано металлических резервуарах РВС-30000, в количестве 5 шт. В эксплуатационном режиме, для подготовки и пополнения топлива к сжиганию в котлах, топочный мазут по мазутопроводу Ду 273 мм перекачивается на расходный склад мазута.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Завоз мазута сезонный с 01 июня по 01 ноября танкерным флотом по реке Амур. В связи с отсутствием необходимого танкерного флота в Хабаровском крае обновить или провести дополнительный завоз мазута не возможно.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rStyle w:val="695"/>
                <w:rFonts w:eastAsia="Calibri" w:eastAsiaTheme="minorHAnsi"/>
                <w:color w:val="000000" w:themeColor="text1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Style w:val="695"/>
                <w:rFonts w:eastAsia="Calibri" w:eastAsiaTheme="minorHAnsi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  <w:rPr>
                <w:color w:val="000000" w:themeColor="text1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Планировочные ограничения</w:t>
            </w:r>
            <w:r>
              <w:rPr>
                <w:color w:val="000000" w:themeColor="text1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641"/>
              <w:ind w:left="142" w:right="122" w:firstLine="425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iCs/>
                <w:color w:val="000000" w:themeColor="text1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Ограничения и охранные зоны инженерно-технических сооружений и сетей принять по результатам проведения инженерных изысканий и действующих нормативных документов.</w:t>
            </w:r>
            <w:r>
              <w:rPr>
                <w:iCs/>
                <w:color w:val="000000" w:themeColor="text1"/>
                <w14:ligatures w14:val="none"/>
              </w:rPr>
            </w:r>
          </w:p>
          <w:p>
            <w:pPr>
              <w:pStyle w:val="641"/>
              <w:ind w:left="142" w:right="122" w:firstLine="425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При разработке ОТР предусмотреть минимальную протяженность технологических связей, а также соблюдение всех норм технологического проектирования электрических станций и другой действующей НТД.</w:t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641"/>
              <w:ind w:left="142" w:right="122" w:firstLine="425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iCs/>
                <w:color w:val="000000" w:themeColor="text1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Разработку ОТР выполнить с учетом выполнения работ в условиях действующего производства и действующих инженерных коммуникаций.</w:t>
            </w:r>
            <w:r>
              <w:rPr>
                <w:iCs/>
                <w:color w:val="000000" w:themeColor="text1"/>
                <w14:ligatures w14:val="none"/>
              </w:rPr>
            </w:r>
          </w:p>
        </w:tc>
      </w:tr>
      <w:tr>
        <w:tblPrEx/>
        <w:trPr>
          <w:trHeight w:val="567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rStyle w:val="695"/>
                <w:rFonts w:eastAsia="Calibri" w:eastAsiaTheme="minorHAnsi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sz w:val="24"/>
                <w:szCs w:val="24"/>
              </w:rPr>
              <w:t xml:space="preserve">9</w:t>
            </w:r>
            <w:r>
              <w:rPr>
                <w:rStyle w:val="695"/>
                <w:rFonts w:eastAsia="Calibri" w:eastAsiaTheme="minorHAnsi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Основные задачи работы</w:t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641"/>
              <w:ind w:left="142" w:right="122" w:firstLine="283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Вып</w:t>
            </w:r>
            <w:r>
              <w:rPr>
                <w:color w:val="000000" w:themeColor="text1"/>
                <w:sz w:val="24"/>
                <w:szCs w:val="24"/>
              </w:rPr>
              <w:t xml:space="preserve">олнить расчеты нормативов запасов топлива (ННЗТ, НЭЗТ, НАЗТ, НВЗТ, ОНЗТ) согласно «Приказа Минэнерго России от 27.11.2020 N 1062 "Об утверждении Порядка создания и использования тепловыми электростанциями запасов топлива, в том числе в отопительный сезон"»</w:t>
            </w:r>
            <w:r>
              <w:rPr>
                <w:color w:val="000000" w:themeColor="text1"/>
              </w:rPr>
            </w:r>
          </w:p>
          <w:p>
            <w:pPr>
              <w:pStyle w:val="641"/>
              <w:ind w:left="142" w:right="122" w:firstLine="283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Подготовить технические решения по составу, размещению и характеристикам оборудования, зданий и сооружений в следующем объеме (но не ограничиваясь):</w:t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641"/>
              <w:ind w:left="142" w:right="122" w:firstLine="283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Вариант 1. Техперевооружение  топливного хозяйства Николаевской ТЭЦ, с переводом котлоагрегатов на дизельное топливо (резервное) с использованием существующей инфраструктуры.</w:t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641"/>
              <w:ind w:left="709" w:right="122" w:hanging="425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 рамках варианта рассмотреть:</w:t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641"/>
              <w:ind w:left="425" w:right="122" w:hanging="142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техперевооружение установленных двух РВС-5000 под хранение, прием, подачу в котельный цех дизельного топлива, установка дополнительного резервуара РВС-5000 на площадке РВС (при необходимости);</w:t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641"/>
              <w:ind w:left="425" w:right="122" w:hanging="142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установку приемно-сливного устройства для приема дизельного топлива от автотранспорта транспорта а также возможность раздачи;</w:t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641"/>
              <w:ind w:left="425" w:right="122" w:hanging="142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 рассмотреть использование существующей мазутонасосной: определить необходимость замены, модернизации насосов подачи топлива.</w:t>
            </w:r>
            <w:r>
              <w:rPr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641"/>
              <w:ind w:left="283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Вариант 2. Техперевооружение топливного хозяйства Николаевской ТЭЦ, с переводом котлоагрегатов на дизельное топливо (резервное) с со  строительством нового склада резервного топлива.</w:t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641"/>
              <w:ind w:left="709" w:right="122" w:hanging="425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 рамках варианта рассмотреть:</w:t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641"/>
              <w:ind w:left="425" w:right="122" w:hanging="142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строительство склада резервного топлива с насосной, приемно-сливным устройством для приема дизельного топлива от автотранспорта транспорта а также возможность раздачи.</w:t>
            </w:r>
            <w:r>
              <w:rPr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641"/>
              <w:ind w:left="283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yellow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  <w:t xml:space="preserve">Вариант 3 (дополнительный). </w:t>
            </w:r>
            <w:r>
              <w:rPr>
                <w:color w:val="000000" w:themeColor="text1"/>
                <w:sz w:val="24"/>
                <w:szCs w:val="24"/>
                <w:highlight w:val="yellow"/>
              </w:rPr>
              <w:t xml:space="preserve">Иные варианты перевода по предложению Подрядчика.</w:t>
            </w:r>
            <w:r>
              <w:rPr>
                <w:color w:val="000000" w:themeColor="text1"/>
                <w:sz w:val="24"/>
                <w:szCs w:val="24"/>
                <w:highlight w:val="yellow"/>
                <w14:ligatures w14:val="none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  <w14:ligatures w14:val="none"/>
              </w:rPr>
            </w:r>
          </w:p>
          <w:p>
            <w:pPr>
              <w:pStyle w:val="641"/>
              <w:ind w:left="0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yellow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yellow"/>
              </w:rPr>
            </w:r>
            <w:r>
              <w:rPr>
                <w:color w:val="000000" w:themeColor="text1"/>
                <w:sz w:val="24"/>
                <w:szCs w:val="24"/>
                <w:highlight w:val="yellow"/>
                <w14:ligatures w14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По всем вариантам:</w:t>
            </w:r>
            <w:r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Обследования проводятся Подрядчиком самостоятельно, с выездом специалистов на объекты. Заказчик обеспечивает доступ на объект и оказывает необходимое содействие в сборе исходных данных.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Выполнить сбор и анализ данных о текущем состоянии оборудования станции по результатам обследований и заключений, имеющихся у Заказчика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641"/>
              <w:ind w:left="142" w:right="142" w:firstLine="0"/>
              <w:jc w:val="both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1. На складе топлива выполнить обследование оборудования, зданий и сооружений топливного хозяйства, провести оценку технического состояния.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641"/>
              <w:ind w:left="142" w:right="142" w:firstLine="0"/>
              <w:jc w:val="both"/>
              <w:widowControl w:val="off"/>
              <w:tabs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1.1 Определить возможные логистические маршруты поставок резервного топлива.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641"/>
              <w:ind w:left="142" w:right="142" w:firstLine="0"/>
              <w:jc w:val="both"/>
              <w:widowControl w:val="off"/>
              <w:tabs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1.2.Определить основные решения по виду использования топлива в качестве резервного.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641"/>
              <w:ind w:left="142" w:right="142" w:firstLine="0"/>
              <w:jc w:val="both"/>
              <w:widowControl w:val="off"/>
              <w:tabs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1.3 Определить и обосновать использование существующего оборудования и (или) необходимость строительства дополнительной емкости (емкостей) хранения и оборудования перекачке, подаче топлива.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641"/>
              <w:ind w:left="142" w:right="142" w:firstLine="0"/>
              <w:jc w:val="both"/>
              <w:widowControl w:val="off"/>
              <w:tabs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1.4 Определить выбор территории, при размещении дополнительной   емкости (оборудования) хранения и оборудования перекачке, подаче топлива.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641"/>
              <w:ind w:left="142" w:right="142" w:firstLine="0"/>
              <w:jc w:val="both"/>
              <w:widowControl w:val="off"/>
              <w:tabs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1.5 Определить  технические решения подачи в котельный цех резервного  топлива.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641"/>
              <w:ind w:left="142" w:right="142" w:firstLine="0"/>
              <w:jc w:val="both"/>
              <w:widowControl w:val="off"/>
              <w:tabs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1.6 Определить  технические решения приемно-сливного устройства для приема топлива от автотранспорта и речного транспорта а также возможность раздачи.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641"/>
              <w:ind w:left="142" w:right="142" w:firstLine="0"/>
              <w:widowControl w:val="off"/>
              <w:tabs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2. В котельном отделении выполнить основные технические решения по;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730"/>
              <w:numPr>
                <w:ilvl w:val="0"/>
                <w:numId w:val="2"/>
              </w:numPr>
              <w:contextualSpacing/>
              <w:ind w:left="142" w:right="142" w:firstLine="0"/>
              <w:spacing w:before="0" w:after="0"/>
              <w:widowControl w:val="off"/>
              <w:tabs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подаче топлива на котлоагрегаты;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730"/>
              <w:numPr>
                <w:ilvl w:val="0"/>
                <w:numId w:val="2"/>
              </w:numPr>
              <w:contextualSpacing w:val="0"/>
              <w:ind w:left="142" w:right="142" w:firstLine="0"/>
              <w:spacing w:before="0" w:after="0"/>
              <w:widowControl w:val="off"/>
              <w:tabs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определить тип форсунок для каждого котлоагрегата;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730"/>
              <w:numPr>
                <w:ilvl w:val="0"/>
                <w:numId w:val="2"/>
              </w:numPr>
              <w:contextualSpacing w:val="0"/>
              <w:ind w:left="142" w:right="142" w:firstLine="0"/>
              <w:spacing w:before="0" w:after="0"/>
              <w:widowControl w:val="off"/>
              <w:tabs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разработать схему топливоподачи и линию рециркуляции в котельном отделении, с условиями взрыво-пожаробезопасности;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641"/>
              <w:ind w:left="142" w:right="142" w:firstLine="0"/>
              <w:widowControl w:val="off"/>
              <w:tabs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3. Согласовать с заводами-изготовителями котлоагрегатов возможность использования выбранного топлива.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pStyle w:val="641"/>
              <w:ind w:left="142" w:right="142" w:firstLine="0"/>
              <w:widowControl w:val="off"/>
              <w:tabs>
                <w:tab w:val="clear" w:pos="708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4. Общие требования: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- компоновка технологического о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борудования должна обеспечивать нормативные условия обслуживания и ремонта оборудования при его высокой механизации с минимальным использованием ручного труда, соблюдение требований правил промышленной, пожарной и энергетической безопасности, охраны труда;</w:t>
            </w:r>
            <w:r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- выполнить оценку и оценить объемы при реконструкции/замене  оборудования;</w:t>
            </w:r>
            <w:r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- оценить объемы строительных решений, и возможность монтажа нового оборудования на существующих фундаментах;</w:t>
            </w:r>
            <w:r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- оценить достаточность существующих вспомогательных систем (техническое водоснабжение, водоотведение, системы электроснабжения и т.п.) и их задействование в рамках реконструкции;</w:t>
            </w:r>
            <w:r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yellow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- определить оптимальное размещение новых зданий и сооружений на генеральном плане станции с учетом требований нормативных документов и условий эксплуатации;</w:t>
            </w:r>
            <w:r>
              <w:rPr>
                <w:color w:val="000000" w:themeColor="text1"/>
                <w:sz w:val="24"/>
                <w:szCs w:val="24"/>
                <w:highlight w:val="yellow"/>
                <w14:ligatures w14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- оценить объем работ по демонтажу объектов капитального строительства в зоне строительных работ;</w:t>
            </w:r>
            <w:r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- сформировать укрупненный перечень поставляемого оборудования и перечень объемов работ;</w:t>
            </w:r>
            <w:r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- оценить необходимость поэтапной реализации проекта, дать предложения по выделению на этапы реконструкции;</w:t>
            </w:r>
            <w:r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- при необходимости предусмотреть установку новых грузоподъемных механизмов;</w:t>
            </w:r>
            <w:r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- учесть, что реконструкция будет выполняться в условиях действующего оборудования;</w:t>
            </w:r>
            <w:r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- основные технические решения должны быть разработаны с учетом обеспечения безопасности обслуживания оборудования; обеспечения надежности работы оборудования; минимизации эксплуатационных затрат; снижение металлоемкости, охраны окружающей среды;</w:t>
            </w:r>
            <w:r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- в ОТР максимально должны применяться оборудование и материалы отечественных производителей.</w:t>
            </w:r>
            <w:r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Согласовать с Заказчиком рассматриваемые технические решения.</w:t>
            </w:r>
            <w:r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27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rStyle w:val="695"/>
                <w:rFonts w:eastAsia="Calibri" w:eastAsiaTheme="minorHAnsi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sz w:val="24"/>
                <w:szCs w:val="24"/>
              </w:rPr>
              <w:t xml:space="preserve">10</w:t>
            </w:r>
            <w:r>
              <w:rPr>
                <w:rStyle w:val="695"/>
                <w:rFonts w:eastAsia="Calibri" w:eastAsiaTheme="minorHAnsi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объему работ выполняемых подрядчиком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730"/>
              <w:numPr>
                <w:ilvl w:val="0"/>
                <w:numId w:val="3"/>
              </w:numPr>
              <w:contextualSpacing/>
              <w:ind w:left="283" w:right="142" w:firstLine="77"/>
              <w:jc w:val="both"/>
              <w:spacing w:before="0" w:after="0"/>
              <w:widowControl w:val="off"/>
              <w:tabs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 этапе предпроектного обследования выполнить комплексные визуально-инструментальные обследования существующего оборудования   в необходимом для реализации проектируемого объекта объеме.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730"/>
              <w:numPr>
                <w:ilvl w:val="0"/>
                <w:numId w:val="3"/>
              </w:numPr>
              <w:contextualSpacing w:val="0"/>
              <w:ind w:left="283" w:right="142" w:firstLine="77"/>
              <w:jc w:val="both"/>
              <w:spacing w:before="0" w:after="0"/>
              <w:widowControl w:val="off"/>
              <w:tabs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Обследования проводятся Подрядчиком самостоятельно, с выездом специалистов на объекты Заказчика г. Николаевск-на-Амуре. Заказчик обеспечивает доступ на объект и оказывает необходимое содействие в сборе исходных данных.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730"/>
              <w:numPr>
                <w:ilvl w:val="0"/>
                <w:numId w:val="3"/>
              </w:numPr>
              <w:contextualSpacing w:val="0"/>
              <w:ind w:left="283" w:right="142" w:firstLine="77"/>
              <w:jc w:val="both"/>
              <w:spacing w:before="0" w:after="0"/>
              <w:widowControl w:val="off"/>
              <w:tabs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решения выполнять в соответствии с ГОСТ, ГОСТ Р, СП, СН и П, техническими регламентами, требованиями в области промышленной безопасности и другими нормами и правилами, действующими на территории РФ.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730"/>
              <w:numPr>
                <w:ilvl w:val="0"/>
                <w:numId w:val="3"/>
              </w:numPr>
              <w:contextualSpacing w:val="0"/>
              <w:ind w:left="283" w:right="142" w:firstLine="77"/>
              <w:jc w:val="both"/>
              <w:spacing w:before="0" w:after="0"/>
              <w:widowControl w:val="off"/>
              <w:tabs>
                <w:tab w:val="clear" w:pos="70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Подрядчик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готовит анализ прохождения проекта экспертизы промышленной   безопасности, согласование  в Федеральной служб по надзору в сфере природопользования (Росприроднадзор), Ростехнадзор и других государственных надзорных органов требуемых  для реализации проекта.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56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rStyle w:val="695"/>
                <w:rFonts w:eastAsia="Calibri" w:eastAsiaTheme="minorHAnsi"/>
                <w:color w:val="000000" w:themeColor="text1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color w:val="000000" w:themeColor="text1"/>
                <w:sz w:val="24"/>
                <w:szCs w:val="24"/>
              </w:rPr>
              <w:t xml:space="preserve">11</w:t>
            </w:r>
            <w:r>
              <w:rPr>
                <w:rStyle w:val="695"/>
                <w:rFonts w:eastAsia="Calibri" w:eastAsiaTheme="minorHAnsi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Требования к разрабатываемой документации</w:t>
            </w:r>
            <w:r>
              <w:rPr>
                <w:color w:val="000000" w:themeColor="text1"/>
              </w:rPr>
            </w:r>
          </w:p>
          <w:p>
            <w:pPr>
              <w:pStyle w:val="641"/>
              <w:shd w:val="clear" w:color="auto" w:fill="ffffff"/>
              <w:widowControl w:val="off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730"/>
              <w:contextualSpacing/>
              <w:ind w:left="142" w:right="34" w:firstLine="169"/>
              <w:jc w:val="both"/>
              <w:spacing w:before="0"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итогам работы по разработке основных технических решений Заказчику предоставляется следующая документация: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730"/>
              <w:numPr>
                <w:ilvl w:val="0"/>
                <w:numId w:val="4"/>
              </w:numPr>
              <w:contextualSpacing/>
              <w:ind w:left="1096" w:right="34" w:hanging="360"/>
              <w:jc w:val="both"/>
              <w:spacing w:before="0"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Общая пояснительная записка;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730"/>
              <w:numPr>
                <w:ilvl w:val="0"/>
                <w:numId w:val="5"/>
              </w:numPr>
              <w:contextualSpacing/>
              <w:ind w:left="1096" w:right="34" w:hanging="360"/>
              <w:jc w:val="both"/>
              <w:spacing w:before="0"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Схемы генерального плана;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730"/>
              <w:numPr>
                <w:ilvl w:val="0"/>
                <w:numId w:val="4"/>
              </w:numPr>
              <w:contextualSpacing/>
              <w:ind w:left="1096" w:right="34" w:hanging="360"/>
              <w:jc w:val="both"/>
              <w:spacing w:before="0"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Технологические схемы;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730"/>
              <w:numPr>
                <w:ilvl w:val="0"/>
                <w:numId w:val="4"/>
              </w:numPr>
              <w:contextualSpacing/>
              <w:ind w:left="1096" w:right="34" w:hanging="360"/>
              <w:jc w:val="both"/>
              <w:spacing w:before="0"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Компоновочные чертежи и решения;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730"/>
              <w:numPr>
                <w:ilvl w:val="0"/>
                <w:numId w:val="4"/>
              </w:numPr>
              <w:contextualSpacing/>
              <w:ind w:left="1096" w:right="34" w:hanging="360"/>
              <w:jc w:val="both"/>
              <w:spacing w:before="0"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Схемы каркасов проектируемых зданий, строительных конструкций;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730"/>
              <w:numPr>
                <w:ilvl w:val="0"/>
                <w:numId w:val="4"/>
              </w:numPr>
              <w:contextualSpacing/>
              <w:ind w:left="1096" w:right="34" w:hanging="360"/>
              <w:jc w:val="both"/>
              <w:spacing w:before="0"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Электротехнические схемы;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730"/>
              <w:numPr>
                <w:ilvl w:val="0"/>
                <w:numId w:val="4"/>
              </w:numPr>
              <w:contextualSpacing/>
              <w:ind w:left="1096" w:right="34" w:hanging="360"/>
              <w:jc w:val="both"/>
              <w:spacing w:before="0"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Структурные схемы АСУ ТП;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730"/>
              <w:numPr>
                <w:ilvl w:val="0"/>
                <w:numId w:val="4"/>
              </w:numPr>
              <w:contextualSpacing/>
              <w:ind w:left="1096" w:right="34" w:hanging="360"/>
              <w:jc w:val="both"/>
              <w:spacing w:before="0"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Укрупненные ведомости материалов и оборудования;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730"/>
              <w:numPr>
                <w:ilvl w:val="0"/>
                <w:numId w:val="4"/>
              </w:numPr>
              <w:contextualSpacing/>
              <w:ind w:left="1096" w:right="34" w:hanging="360"/>
              <w:jc w:val="both"/>
              <w:spacing w:before="0"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Сводный сметный расчет на стадии основных технических решений.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730"/>
              <w:numPr>
                <w:ilvl w:val="0"/>
                <w:numId w:val="6"/>
              </w:numPr>
              <w:contextualSpacing/>
              <w:ind w:left="1096" w:right="34" w:hanging="360"/>
              <w:jc w:val="both"/>
              <w:spacing w:before="0" w:after="0" w:line="240" w:lineRule="auto"/>
              <w:widowControl w:val="o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Задание на разработку проектной и рабочей документации для выбранного варианта, включая задание на проведение инженерных изысканий.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317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rStyle w:val="695"/>
                <w:rFonts w:eastAsia="Calibri" w:eastAsiaTheme="minorHAnsi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sz w:val="24"/>
                <w:szCs w:val="24"/>
              </w:rPr>
              <w:t xml:space="preserve">12</w:t>
            </w:r>
            <w:r>
              <w:rPr>
                <w:rStyle w:val="695"/>
                <w:rFonts w:eastAsia="Calibri" w:eastAsiaTheme="minorHAnsi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пожарной безопасности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</w:t>
            </w:r>
            <w:r>
              <w:rPr>
                <w:sz w:val="24"/>
                <w:szCs w:val="24"/>
              </w:rPr>
              <w:t xml:space="preserve">тацию выполнить с учетом Федерального закона от 22.07.2008 № 123-ФЗ «Технический регламент о требованиях пожарной безопасности», Постановление Правительства Российской федерации от 16.09.202г.№ 1479 «Правила противопожарного режима в Российской федерации».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rStyle w:val="695"/>
                <w:rFonts w:eastAsia="Calibri" w:eastAsiaTheme="minorHAnsi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sz w:val="24"/>
                <w:szCs w:val="24"/>
              </w:rPr>
              <w:t xml:space="preserve">13</w:t>
            </w:r>
            <w:r>
              <w:rPr>
                <w:rStyle w:val="695"/>
                <w:rFonts w:eastAsia="Calibri" w:eastAsiaTheme="minorHAnsi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Особые условия Заказчика.</w:t>
            </w:r>
            <w:r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strike w:val="0"/>
                <w:color w:val="000000" w:themeColor="text1"/>
                <w:sz w:val="24"/>
                <w:szCs w:val="24"/>
              </w:rPr>
              <w:t xml:space="preserve">Замечания </w:t>
            </w:r>
            <w:r>
              <w:rPr>
                <w:color w:val="000000" w:themeColor="text1"/>
                <w:sz w:val="24"/>
                <w:szCs w:val="24"/>
              </w:rPr>
              <w:t xml:space="preserve">Заказчика, а также несоответствия документации и  решений требованиям действующих нормативных и законодательных актов, устраняются Подрядчиком за счет собственных сил и средств, с внесением необходимых исправлений и изменений в документацию.</w:t>
            </w:r>
            <w:r>
              <w:rPr>
                <w:color w:val="000000" w:themeColor="text1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 Принятые технические решения и оборудование</w:t>
              <w:br/>
              <w:t xml:space="preserve">должны соответствовать законодательным и нормативным правовым актам, действующим на территории РФ.</w:t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3. При разработке ОТР</w:t>
            </w:r>
            <w:r>
              <w:rPr>
                <w:sz w:val="24"/>
                <w:szCs w:val="24"/>
                <w:shd w:val="clear" w:color="auto" w:fill="ffffff"/>
              </w:rPr>
              <w:t xml:space="preserve"> исключить применение импортного оборудования и материалов, включая комплектующие и ЗИП, при наличии альтернативных аналогов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Российского</w:t>
            </w:r>
            <w:r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  <w:shd w:val="clear" w:color="auto" w:fill="ffffff"/>
              </w:rPr>
              <w:t xml:space="preserve">роизводства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соответствующего качества.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lang w:bidi="ru-RU"/>
              </w:rPr>
              <w:t xml:space="preserve">4. </w:t>
            </w:r>
            <w:r>
              <w:rPr>
                <w:sz w:val="24"/>
                <w:szCs w:val="24"/>
              </w:rPr>
              <w:t xml:space="preserve">Не допускается указание Подрядчиком в документации, в том числе спецификациях, материалов и изделий конкретных производителей. Указываются только тип, марка, и характеристики материалов и изделий.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5. B разрабатываемых </w:t>
            </w:r>
            <w:r>
              <w:rPr>
                <w:sz w:val="24"/>
                <w:szCs w:val="24"/>
              </w:rPr>
              <w:t xml:space="preserve">технических решений</w:t>
            </w:r>
            <w:r>
              <w:rPr>
                <w:sz w:val="24"/>
                <w:szCs w:val="24"/>
                <w:shd w:val="clear" w:color="auto" w:fill="ffffff"/>
              </w:rPr>
              <w:t xml:space="preserve"> должно быть исключено: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- лоббирование (явное/неявное) через технические требования конкретного (одного) изготовителя (поставщика) путем указания наименований и ссылок на ТУ или указания конструктивного исполнения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оборудования/материалов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конкретного завода-изготовителя, a также исключить указание марок оборудования и материалов;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shd w:val="clear" w:color="auto" w:fill="ffffff"/>
              </w:rPr>
              <w:t xml:space="preserve">- технические требования, ведущие к завышению стоимости оборудования (в том числе за счет избыточности требований по оказанию услуг по шефмонтажу и пуско-наладке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к типовому оборудованию) и материалов;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избыточность Технических требований, ведущих к удорожанию СМР.</w:t>
            </w:r>
            <w:r/>
          </w:p>
        </w:tc>
      </w:tr>
      <w:tr>
        <w:tblPrEx/>
        <w:trPr>
          <w:trHeight w:val="567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rStyle w:val="695"/>
                <w:rFonts w:eastAsia="Calibri" w:eastAsiaTheme="minorHAnsi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sz w:val="24"/>
                <w:szCs w:val="24"/>
              </w:rPr>
              <w:t xml:space="preserve">14</w:t>
            </w:r>
            <w:r>
              <w:rPr>
                <w:rStyle w:val="695"/>
                <w:rFonts w:eastAsia="Calibri" w:eastAsiaTheme="minorHAnsi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  <w:t xml:space="preserve">Количество экземпляров документации, выдаваемые Заказчику.</w:t>
            </w:r>
            <w:r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Количество передаваемой документации – 4 экземпляра на бумажном носителе, два экземпляра в электронном виде на компакт-диске (на CD или DVD).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Формат передаваемой в электронном виде документации: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- текстовая часть – </w:t>
            </w:r>
            <w:r>
              <w:rPr>
                <w:sz w:val="24"/>
                <w:szCs w:val="24"/>
                <w:lang w:val="en-US"/>
              </w:rPr>
              <w:t xml:space="preserve">doc</w:t>
            </w:r>
            <w:r>
              <w:rPr>
                <w:sz w:val="24"/>
                <w:szCs w:val="24"/>
              </w:rPr>
              <w:t xml:space="preserve">х), </w:t>
            </w:r>
            <w:r>
              <w:rPr>
                <w:sz w:val="24"/>
                <w:szCs w:val="24"/>
                <w:lang w:val="en-US"/>
              </w:rPr>
              <w:t xml:space="preserve">odt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 xml:space="preserve">LibreOffice</w:t>
            </w:r>
            <w:r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  <w:lang w:val="en-US"/>
              </w:rPr>
              <w:t xml:space="preserve">pdf</w:t>
            </w:r>
            <w:r>
              <w:rPr>
                <w:sz w:val="24"/>
                <w:szCs w:val="24"/>
              </w:rPr>
              <w:t xml:space="preserve">;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- графическая часть – cdw, dwg, pdf, tiff;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Допускается наличие эквивалентных программных продуктов, которые должны полностью поддерживать форматы указанного ПО заказчика, с набором функций, не уступающих указанному ПО и схожим с ним интерфейсом;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- таблицы данных – </w:t>
            </w:r>
            <w:r>
              <w:rPr>
                <w:sz w:val="24"/>
                <w:szCs w:val="24"/>
                <w:lang w:val="en-US"/>
              </w:rPr>
              <w:t xml:space="preserve">doc</w:t>
            </w:r>
            <w:r>
              <w:rPr>
                <w:sz w:val="24"/>
                <w:szCs w:val="24"/>
              </w:rPr>
              <w:t xml:space="preserve">х, </w:t>
            </w:r>
            <w:r>
              <w:rPr>
                <w:sz w:val="24"/>
                <w:szCs w:val="24"/>
                <w:lang w:val="en-US"/>
              </w:rPr>
              <w:t xml:space="preserve">xls</w:t>
            </w:r>
            <w:r>
              <w:rPr>
                <w:sz w:val="24"/>
                <w:szCs w:val="24"/>
              </w:rPr>
              <w:t xml:space="preserve">х;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- презентационные материалы – ppt.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Не допускается передача документации в формате pdf с пофайловым разделением страниц.</w:t>
            </w:r>
            <w:r/>
          </w:p>
        </w:tc>
      </w:tr>
      <w:tr>
        <w:tblPrEx/>
        <w:trPr>
          <w:trHeight w:val="175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rStyle w:val="695"/>
                <w:rFonts w:eastAsia="Calibri" w:eastAsiaTheme="minorHAnsi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sz w:val="24"/>
                <w:szCs w:val="24"/>
              </w:rPr>
              <w:t xml:space="preserve">15</w:t>
            </w:r>
            <w:r>
              <w:rPr>
                <w:rStyle w:val="695"/>
                <w:rFonts w:eastAsia="Calibri" w:eastAsiaTheme="minorHAnsi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  <w:t xml:space="preserve">Перечень обязательной к применению нормативно-технической документации</w:t>
            </w:r>
            <w:r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разделе. А также: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contextualSpacing/>
              <w:ind w:left="142" w:right="122" w:firstLine="0"/>
              <w:jc w:val="both"/>
              <w:spacing w:before="0" w:after="0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ГОСТ Р 21.101-2020 «Система проектной документации для строительства. Основные требования к проектной и рабочей документации».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Градостроительный кодекс Российской Федерации от 29.12.2004 № 190-ФЗ;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contextualSpacing/>
              <w:ind w:left="142" w:right="122" w:firstLine="0"/>
              <w:jc w:val="both"/>
              <w:spacing w:before="0" w:after="0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Постановление Правительства РФ от 16.02.2008 № 87 «О составе разделов проектной документации и требованиях к их содержанию».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Федерального закона от 04.05.1999 №96 ФЗ «Об охране атмосферного воздуха».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Федерального закона от 30.03.1999 №52 ФЗ «О санитарно-эпидемиологическом благополучии населения».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Федерального закона от 10.01.2002 № 7-ФЗ "Об охране окружающей среды".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Федерального закона от 03.06.2006 №74-ФЗ. «Водный кодекс Российской Федерации»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pacing w:val="-5"/>
                <w:sz w:val="24"/>
                <w:szCs w:val="24"/>
                <w:lang w:bidi="ru-RU"/>
              </w:rPr>
              <w:t xml:space="preserve">Федерального закона от 22.07.2008 № 123-ФЗ «Технический регламент о требованиях пожарной безопасности», Инструкции по проектированию противопожарной защиты энергетических предприятий, РД 153-34.0-49.101-2003 и иных нормативно-технических документов.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pacing w:val="-5"/>
                <w:sz w:val="24"/>
                <w:szCs w:val="24"/>
              </w:rPr>
              <w:t xml:space="preserve">-  №384-ФЗ от 30.12.2009 «Технический регламент о безопасности зданий и сооружений».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pacing w:val="-5"/>
                <w:sz w:val="24"/>
                <w:szCs w:val="24"/>
              </w:rPr>
              <w:t xml:space="preserve">- № 123-ФЗ от 22.07.2008 «Технический регламент о требованиях пожарной безопасности».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pacing w:val="-5"/>
                <w:sz w:val="24"/>
                <w:szCs w:val="24"/>
              </w:rPr>
              <w:t xml:space="preserve">- ГОСТ 12.1.004-91* Система стандартов безопасности труда. Пожарная безопасность. Общие требования.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pacing w:val="-5"/>
                <w:sz w:val="24"/>
                <w:szCs w:val="24"/>
              </w:rPr>
              <w:t xml:space="preserve">- Постановление Правительства РФ от 16.02.2008 № 87 «О составе разделов проектной документации и требованиях к их содержанию».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pacing w:val="-5"/>
                <w:sz w:val="24"/>
                <w:szCs w:val="24"/>
              </w:rPr>
              <w:t xml:space="preserve">-  №136-ФЗ от 25.10.2001 "Земельный кодекс Российской Федерации".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pacing w:val="-5"/>
                <w:sz w:val="24"/>
                <w:szCs w:val="24"/>
              </w:rPr>
              <w:t xml:space="preserve">- ГОСТ Р 54257-2010 Надежность строительных конструкций и оснований. Основные положения и требования.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pacing w:val="-5"/>
                <w:sz w:val="24"/>
                <w:szCs w:val="24"/>
              </w:rPr>
              <w:t xml:space="preserve">- СП 14.13330.2014 "СНиП II-7-81* Строительство в сейсмических районах".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pacing w:val="-5"/>
                <w:sz w:val="24"/>
                <w:szCs w:val="24"/>
              </w:rPr>
              <w:t xml:space="preserve">- №99-ФЗ от 04.05.2011 «О лицензировании отдельных видов деятельности».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pacing w:val="-5"/>
                <w:sz w:val="24"/>
                <w:szCs w:val="24"/>
              </w:rPr>
              <w:t xml:space="preserve">- СНиП 12-03-2001. Безопасность труда в строительстве. Часть 1. Общие требования.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pacing w:val="-5"/>
                <w:sz w:val="24"/>
                <w:szCs w:val="24"/>
              </w:rPr>
              <w:t xml:space="preserve">- СНиП 12-04-12-04-2002. Безопасность труда в строительстве. Часть 2. Строительное производство.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pacing w:val="-5"/>
                <w:sz w:val="24"/>
                <w:szCs w:val="24"/>
              </w:rPr>
              <w:t xml:space="preserve">- № 116-ФЗ от 21 июля 1997 "О промышленной безопасности опасных производственных объектов".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ГОСТ Р 59789-2021"Проектирование систем молниезащиты и заземления".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Федеральный Закон от 23 ноября 2009 года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Федеральный закон от 21 июля 2011 года № 256-ФЗ «О безопасности объектов топливно-энергетического комплекса».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Постановление Правительства Российской Федерации от 16 сентября 2020 г. №1479 «Правила противопожарного режима в Российской Федерации».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Правила по обеспечению безопасности и антитеррористической защищенности объектов топливно-энергетического комплекса, утвержденные Постановлением Правительства РФ от 05.05.2012 г. № 458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Приказ ФСТЭК России от 14.03.2014г № 31 «Об утверждении требований к обеспечению защиты информации в авто</w:t>
            </w:r>
            <w:r>
              <w:rPr>
                <w:sz w:val="24"/>
                <w:szCs w:val="24"/>
                <w:shd w:val="clear" w:color="auto" w:fill="ffffff"/>
              </w:rPr>
              <w:t xml:space="preserve">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окружающей природной среды».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П 1.13130.2020 «Системы противопожарной защиты. Эвакуационные пути и выходы».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СП 2.13130.2020 «Системы противопожарной защиты. Обеспечение огнестойкости объектов защиты».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СП 3.13130.2009 «Системы противопожарной защиты. Система оповещения и управления эвакуацией людей при пожаре. Требования пожарной безопасности».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СП 7.13130.2013 Отопление, вентиляция и кондиционирование. Требования пожарной безопасности.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СП 8.13130.2020 Системы противопожарной защиты. Наружное противопожарное водоснабжение. Требования пожарной безопасности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СП 10.13130.2020 Системы противопожарной защиты. Внутренний противопожарный водопровод. Нормы и правила проектирования.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СП 12.13130.2009 «Определение категорий помещений, зданий и наружных установок по взрывопожарной и пожарной опасности».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 СП 44.13330.2011 «Административные и бытовые здания».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СП 90.13330.2012 «Электростанции тепловые.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ГОСТ 12.1.004-91 «Пожарная безопасность. Общие требования».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ГОСТ Р 12.3.047-2012 Система стандартов безопасности труда. Пожарная безопасность технологических процессов. Общие требования. Методы контроля.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РД 34.03.201-97 Правила техники безопасности при эксплуатации тепломеханического оборудования электростанций и сетей;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РД 153-34.0-39.604-00 Методические указания по раскреплению опорно-подвесной системы при ремонте трубопроводов и приемке опорно-подвесной системы креплений после завершения ремонтных работ.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СП 6.13130.2013 системы прот</w:t>
            </w:r>
            <w:r>
              <w:rPr>
                <w:sz w:val="24"/>
                <w:szCs w:val="24"/>
                <w:shd w:val="clear" w:color="auto" w:fill="ffffff"/>
              </w:rPr>
              <w:t xml:space="preserve">ивопожарной защиты электрооборудование требования пожарной безопасности.</w:t>
              <w:br/>
              <w:t xml:space="preserve">     - Приказ МЧС России от 06.04.2021 N 200 "Об утверждении свода правил СП 6.1313 "Системы противопожарной защиты. Электроустановки низковольтные. Требования пожарной безопасности".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ГОСТ 34700-2020 источники бесперебойного электропитания технических средств, средств пожарной автоматики.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ГОСТ Р 53325-2012 технические средства пожарной автоматики.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ГОСТ Р58403 -2019 системы беспроводные объектовые охранной сигнализации".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ГОСТ Р 59638-2021. Национ</w:t>
            </w:r>
            <w:r>
              <w:rPr>
                <w:sz w:val="24"/>
                <w:szCs w:val="24"/>
                <w:shd w:val="clear" w:color="auto" w:fill="ffffff"/>
              </w:rPr>
              <w:t xml:space="preserve">альный стандарт Российской Федерации. Системы пожарной сигнализации. Руководство по проектированию, монтажу, техническому обслуживанию и ремонту. Методы испытаний на работоспособность" (утв. и введен в действие Приказом Росстандарта от 24.08.2021 N 791-ст)</w:t>
            </w:r>
            <w:r>
              <w:t xml:space="preserve">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ГОСТ Р 59636-2021. Национальный ста</w:t>
            </w:r>
            <w:r>
              <w:rPr>
                <w:sz w:val="24"/>
                <w:szCs w:val="24"/>
                <w:shd w:val="clear" w:color="auto" w:fill="ffffff"/>
              </w:rPr>
              <w:t xml:space="preserve">ндарт Российской Федерации. Установки пожаротушения автоматические. Руководство по проектированию, монтажу, техническому обслуживанию и ремонту. Методы испытаний на работоспособность" (утв. и введен в действие Приказом Росстандарта от 24.08.2021 N 789-ст).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  <w:shd w:val="clear" w:color="auto" w:fill="ffffff"/>
              </w:rPr>
              <w:t xml:space="preserve">- ГОСТ 9.401 - 2018 Единая система защиты от коррозии и старения. Общие требования и методы ускоренных испытаний на стойкость к воздействию климатических факторов.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</w:pPr>
            <w:r>
              <w:rPr>
                <w:sz w:val="24"/>
                <w:szCs w:val="24"/>
              </w:rPr>
              <w:t xml:space="preserve">- ГОСТ Р 8.968 - 2019 сигнализаторы горючих газов и паров горючих жидкостей без отсчетного устройства.</w:t>
            </w:r>
            <w:r/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pacing w:val="-5"/>
              </w:rPr>
            </w:pPr>
            <w:r>
              <w:rPr>
                <w:sz w:val="24"/>
                <w:szCs w:val="24"/>
              </w:rPr>
              <w:t xml:space="preserve">- ГОСТ Р 70846.4-2023 Система классификации и кодирования. Разработка и применение систем классификации и кодирования пространственных данны</w:t>
            </w:r>
            <w:r>
              <w:rPr>
                <w:rFonts w:eastAsia="Arial"/>
                <w:sz w:val="24"/>
                <w:highlight w:val="white"/>
              </w:rPr>
              <w:t xml:space="preserve">х.</w:t>
            </w:r>
            <w:r>
              <w:rPr>
                <w:spacing w:val="-5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«Правила по охране труда при эксплуатации электроустановок» утвержденные приказом Минтруда России от 15.12.2020 № 903н.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Другая действующая на момент разработки проектной документации нормативно-техническая документация, действующие законодательные документы РФ и нормативные акты к ним.</w:t>
            </w:r>
            <w:r>
              <w:rPr>
                <w:sz w:val="24"/>
                <w:szCs w:val="24"/>
              </w:rPr>
            </w:r>
          </w:p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не является исчерпывающим.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7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" w:type="dxa"/>
            <w:textDirection w:val="lrTb"/>
            <w:noWrap w:val="false"/>
          </w:tcPr>
          <w:p>
            <w:pPr>
              <w:pStyle w:val="641"/>
              <w:ind w:right="200" w:firstLine="0"/>
              <w:jc w:val="center"/>
              <w:widowControl w:val="off"/>
              <w:rPr>
                <w:rStyle w:val="695"/>
                <w:rFonts w:eastAsia="Calibri" w:eastAsiaTheme="minorHAnsi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sz w:val="24"/>
                <w:szCs w:val="24"/>
              </w:rPr>
              <w:t xml:space="preserve">16</w:t>
            </w:r>
            <w:r>
              <w:rPr>
                <w:rStyle w:val="695"/>
                <w:rFonts w:eastAsia="Calibri" w:eastAsiaTheme="minorHAnsi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641"/>
              <w:ind w:left="142" w:right="103" w:firstLine="0"/>
              <w:widowControl w:val="off"/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</w:pPr>
            <w:r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  <w:t xml:space="preserve">Приложение</w:t>
            </w:r>
            <w:r>
              <w:rPr>
                <w:rStyle w:val="695"/>
                <w:rFonts w:eastAsia="Calibri" w:eastAsiaTheme="minorHAnsi"/>
                <w:color w:val="auto"/>
                <w:sz w:val="24"/>
                <w:szCs w:val="24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60" w:type="dxa"/>
            <w:vAlign w:val="center"/>
            <w:textDirection w:val="lrTb"/>
            <w:noWrap w:val="false"/>
          </w:tcPr>
          <w:p>
            <w:pPr>
              <w:pStyle w:val="641"/>
              <w:ind w:left="142" w:right="122" w:firstLine="0"/>
              <w:jc w:val="both"/>
              <w:widowControl w:val="off"/>
              <w:tabs>
                <w:tab w:val="left" w:pos="142" w:leader="none"/>
                <w:tab w:val="clear" w:pos="708" w:leader="none"/>
                <w:tab w:val="left" w:pos="828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Ситуационный план склада резервного топлива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641"/>
      </w:pPr>
      <w:r/>
      <w:r/>
    </w:p>
    <w:p>
      <w:pPr>
        <w:pStyle w:val="64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41"/>
        <w:jc w:val="left"/>
        <w:rPr>
          <w:sz w:val="24"/>
          <w:szCs w:val="24"/>
        </w:rPr>
      </w:pPr>
      <w:r/>
      <w:r>
        <w:rPr>
          <w:sz w:val="24"/>
          <w:szCs w:val="24"/>
        </w:rPr>
      </w:r>
    </w:p>
    <w:sectPr>
      <w:footerReference w:type="default" r:id="rId9"/>
      <w:footnotePr/>
      <w:endnotePr/>
      <w:type w:val="nextPage"/>
      <w:pgSz w:w="11906" w:h="16838" w:orient="portrait"/>
      <w:pgMar w:top="426" w:right="569" w:bottom="993" w:left="1134" w:header="0" w:footer="72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libri">
    <w:panose1 w:val="020F0502020204030204"/>
  </w:font>
  <w:font w:name="Tahoma">
    <w:panose1 w:val="020B0604030504040204"/>
  </w:font>
  <w:font w:name="Open Sans">
    <w:panose1 w:val="020B0606030504020204"/>
  </w:font>
  <w:font w:name="Segoe UI">
    <w:panose1 w:val="020B0503020204020204"/>
  </w:font>
  <w:font w:name="Lohit Devanagari">
    <w:panose1 w:val="020B0600000000000000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5"/>
      <w:jc w:val="both"/>
      <w:tabs>
        <w:tab w:val="center" w:pos="4677" w:leader="none"/>
        <w:tab w:val="left" w:pos="7797" w:leader="none"/>
        <w:tab w:val="right" w:pos="9355" w:leader="none"/>
      </w:tabs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850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57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29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01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3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45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17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9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61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96" w:hanging="360"/>
        <w:tabs>
          <w:tab w:val="num" w:pos="0" w:leader="none"/>
        </w:tabs>
      </w:pPr>
      <w:rPr>
        <w:rFonts w:hint="default" w:ascii="Symbol" w:hAnsi="Symbol" w:cs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81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3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5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7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9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1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3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5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96" w:hanging="360"/>
        <w:tabs>
          <w:tab w:val="num" w:pos="0" w:leader="none"/>
        </w:tabs>
      </w:pPr>
      <w:rPr>
        <w:rFonts w:hint="default" w:ascii="Symbol" w:hAnsi="Symbol" w:cs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81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3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5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7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9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1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3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5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96" w:hanging="360"/>
        <w:tabs>
          <w:tab w:val="num" w:pos="0" w:leader="none"/>
        </w:tabs>
      </w:pPr>
      <w:rPr>
        <w:rFonts w:hint="default" w:ascii="Symbol" w:hAnsi="Symbol" w:cs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81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3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5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7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9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1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3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5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1" w:default="1">
    <w:name w:val="Normal"/>
    <w:qFormat/>
    <w:pPr>
      <w:jc w:val="left"/>
      <w:spacing w:before="0" w:beforeAutospacing="0" w:after="0" w:afterAutospacing="0" w:line="240" w:lineRule="auto"/>
      <w:widowControl w:val="off"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642">
    <w:name w:val="Heading 1"/>
    <w:basedOn w:val="641"/>
    <w:next w:val="641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43">
    <w:name w:val="Heading 2"/>
    <w:basedOn w:val="641"/>
    <w:next w:val="641"/>
    <w:link w:val="66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44">
    <w:name w:val="Heading 3"/>
    <w:basedOn w:val="641"/>
    <w:next w:val="641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45">
    <w:name w:val="Heading 4"/>
    <w:basedOn w:val="641"/>
    <w:next w:val="641"/>
    <w:link w:val="67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6">
    <w:name w:val="Heading 5"/>
    <w:basedOn w:val="641"/>
    <w:next w:val="641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47">
    <w:name w:val="Heading 6"/>
    <w:basedOn w:val="641"/>
    <w:next w:val="641"/>
    <w:link w:val="67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641"/>
    <w:next w:val="641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49">
    <w:name w:val="Heading 8"/>
    <w:basedOn w:val="641"/>
    <w:next w:val="641"/>
    <w:link w:val="6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641"/>
    <w:next w:val="641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 w:default="1">
    <w:name w:val="Default Paragraph Font"/>
    <w:uiPriority w:val="1"/>
    <w:semiHidden/>
    <w:unhideWhenUsed/>
    <w:qFormat/>
  </w:style>
  <w:style w:type="character" w:styleId="652" w:customStyle="1">
    <w:name w:val="Heading 1 Char"/>
    <w:basedOn w:val="651"/>
    <w:uiPriority w:val="9"/>
    <w:qFormat/>
    <w:rPr>
      <w:rFonts w:ascii="Arial" w:hAnsi="Arial" w:eastAsia="Arial" w:cs="Arial"/>
      <w:sz w:val="40"/>
      <w:szCs w:val="40"/>
    </w:rPr>
  </w:style>
  <w:style w:type="character" w:styleId="653" w:customStyle="1">
    <w:name w:val="Heading 2 Char"/>
    <w:basedOn w:val="651"/>
    <w:uiPriority w:val="9"/>
    <w:qFormat/>
    <w:rPr>
      <w:rFonts w:ascii="Arial" w:hAnsi="Arial" w:eastAsia="Arial" w:cs="Arial"/>
      <w:sz w:val="34"/>
    </w:rPr>
  </w:style>
  <w:style w:type="character" w:styleId="654" w:customStyle="1">
    <w:name w:val="Heading 3 Char"/>
    <w:basedOn w:val="651"/>
    <w:uiPriority w:val="9"/>
    <w:qFormat/>
    <w:rPr>
      <w:rFonts w:ascii="Arial" w:hAnsi="Arial" w:eastAsia="Arial" w:cs="Arial"/>
      <w:sz w:val="30"/>
      <w:szCs w:val="30"/>
    </w:rPr>
  </w:style>
  <w:style w:type="character" w:styleId="655" w:customStyle="1">
    <w:name w:val="Heading 4 Char"/>
    <w:basedOn w:val="65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56" w:customStyle="1">
    <w:name w:val="Heading 5 Char"/>
    <w:basedOn w:val="65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57" w:customStyle="1">
    <w:name w:val="Heading 6 Char"/>
    <w:basedOn w:val="65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58" w:customStyle="1">
    <w:name w:val="Heading 7 Char"/>
    <w:basedOn w:val="65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59" w:customStyle="1">
    <w:name w:val="Heading 8 Char"/>
    <w:basedOn w:val="65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60" w:customStyle="1">
    <w:name w:val="Heading 9 Char"/>
    <w:basedOn w:val="65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61" w:customStyle="1">
    <w:name w:val="Title Char"/>
    <w:basedOn w:val="651"/>
    <w:uiPriority w:val="10"/>
    <w:qFormat/>
    <w:rPr>
      <w:sz w:val="48"/>
      <w:szCs w:val="48"/>
    </w:rPr>
  </w:style>
  <w:style w:type="character" w:styleId="662" w:customStyle="1">
    <w:name w:val="Subtitle Char"/>
    <w:basedOn w:val="651"/>
    <w:uiPriority w:val="11"/>
    <w:qFormat/>
    <w:rPr>
      <w:sz w:val="24"/>
      <w:szCs w:val="24"/>
    </w:rPr>
  </w:style>
  <w:style w:type="character" w:styleId="663" w:customStyle="1">
    <w:name w:val="Quote Char"/>
    <w:uiPriority w:val="29"/>
    <w:qFormat/>
    <w:rPr>
      <w:i/>
    </w:rPr>
  </w:style>
  <w:style w:type="character" w:styleId="664" w:customStyle="1">
    <w:name w:val="Intense Quote Char"/>
    <w:uiPriority w:val="30"/>
    <w:qFormat/>
    <w:rPr>
      <w:i/>
    </w:rPr>
  </w:style>
  <w:style w:type="character" w:styleId="665" w:customStyle="1">
    <w:name w:val="Footnote Text Char"/>
    <w:uiPriority w:val="99"/>
    <w:qFormat/>
    <w:rPr>
      <w:sz w:val="18"/>
    </w:rPr>
  </w:style>
  <w:style w:type="character" w:styleId="666" w:customStyle="1">
    <w:name w:val="Endnote Text Char"/>
    <w:uiPriority w:val="99"/>
    <w:qFormat/>
    <w:rPr>
      <w:sz w:val="20"/>
    </w:rPr>
  </w:style>
  <w:style w:type="character" w:styleId="667" w:customStyle="1">
    <w:name w:val="Заголовок 1 Знак"/>
    <w:basedOn w:val="651"/>
    <w:uiPriority w:val="9"/>
    <w:qFormat/>
    <w:rPr>
      <w:rFonts w:ascii="Arial" w:hAnsi="Arial" w:eastAsia="Arial" w:cs="Arial"/>
      <w:sz w:val="40"/>
      <w:szCs w:val="40"/>
    </w:rPr>
  </w:style>
  <w:style w:type="character" w:styleId="668" w:customStyle="1">
    <w:name w:val="Заголовок 2 Знак"/>
    <w:basedOn w:val="651"/>
    <w:uiPriority w:val="9"/>
    <w:qFormat/>
    <w:rPr>
      <w:rFonts w:ascii="Arial" w:hAnsi="Arial" w:eastAsia="Arial" w:cs="Arial"/>
      <w:sz w:val="34"/>
    </w:rPr>
  </w:style>
  <w:style w:type="character" w:styleId="669" w:customStyle="1">
    <w:name w:val="Заголовок 3 Знак"/>
    <w:basedOn w:val="651"/>
    <w:uiPriority w:val="9"/>
    <w:qFormat/>
    <w:rPr>
      <w:rFonts w:ascii="Arial" w:hAnsi="Arial" w:eastAsia="Arial" w:cs="Arial"/>
      <w:sz w:val="30"/>
      <w:szCs w:val="30"/>
    </w:rPr>
  </w:style>
  <w:style w:type="character" w:styleId="670" w:customStyle="1">
    <w:name w:val="Заголовок 4 Знак"/>
    <w:basedOn w:val="65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71" w:customStyle="1">
    <w:name w:val="Заголовок 5 Знак"/>
    <w:basedOn w:val="651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72" w:customStyle="1">
    <w:name w:val="Заголовок 6 Знак"/>
    <w:basedOn w:val="651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73" w:customStyle="1">
    <w:name w:val="Заголовок 7 Знак"/>
    <w:basedOn w:val="65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74" w:customStyle="1">
    <w:name w:val="Заголовок 8 Знак"/>
    <w:basedOn w:val="651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75" w:customStyle="1">
    <w:name w:val="Заголовок 9 Знак"/>
    <w:basedOn w:val="65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76" w:customStyle="1">
    <w:name w:val="Заголовок Знак"/>
    <w:basedOn w:val="651"/>
    <w:uiPriority w:val="10"/>
    <w:qFormat/>
    <w:rPr>
      <w:sz w:val="48"/>
      <w:szCs w:val="48"/>
    </w:rPr>
  </w:style>
  <w:style w:type="character" w:styleId="677" w:customStyle="1">
    <w:name w:val="Подзаголовок Знак"/>
    <w:basedOn w:val="651"/>
    <w:uiPriority w:val="11"/>
    <w:qFormat/>
    <w:rPr>
      <w:sz w:val="24"/>
      <w:szCs w:val="24"/>
    </w:rPr>
  </w:style>
  <w:style w:type="character" w:styleId="678" w:customStyle="1">
    <w:name w:val="Цитата 2 Знак"/>
    <w:link w:val="708"/>
    <w:uiPriority w:val="29"/>
    <w:qFormat/>
    <w:rPr>
      <w:i/>
    </w:rPr>
  </w:style>
  <w:style w:type="character" w:styleId="679" w:customStyle="1">
    <w:name w:val="Выделенная цитата Знак"/>
    <w:link w:val="709"/>
    <w:uiPriority w:val="30"/>
    <w:qFormat/>
    <w:rPr>
      <w:i/>
    </w:rPr>
  </w:style>
  <w:style w:type="character" w:styleId="680" w:customStyle="1">
    <w:name w:val="Header Char"/>
    <w:basedOn w:val="651"/>
    <w:uiPriority w:val="99"/>
    <w:qFormat/>
  </w:style>
  <w:style w:type="character" w:styleId="681" w:customStyle="1">
    <w:name w:val="Footer Char"/>
    <w:basedOn w:val="651"/>
    <w:uiPriority w:val="99"/>
    <w:qFormat/>
  </w:style>
  <w:style w:type="character" w:styleId="682" w:customStyle="1">
    <w:name w:val="Caption Char"/>
    <w:uiPriority w:val="99"/>
    <w:qFormat/>
  </w:style>
  <w:style w:type="character" w:styleId="683" w:customStyle="1">
    <w:name w:val="Текст сноски Знак"/>
    <w:uiPriority w:val="99"/>
    <w:qFormat/>
    <w:rPr>
      <w:sz w:val="18"/>
    </w:rPr>
  </w:style>
  <w:style w:type="character" w:styleId="684">
    <w:name w:val="Символ сноски"/>
    <w:uiPriority w:val="99"/>
    <w:unhideWhenUsed/>
    <w:qFormat/>
    <w:rPr>
      <w:vertAlign w:val="superscript"/>
    </w:rPr>
  </w:style>
  <w:style w:type="character" w:styleId="685">
    <w:name w:val="footnote reference"/>
    <w:rPr>
      <w:vertAlign w:val="superscript"/>
    </w:rPr>
  </w:style>
  <w:style w:type="character" w:styleId="686" w:customStyle="1">
    <w:name w:val="Текст концевой сноски Знак"/>
    <w:uiPriority w:val="99"/>
    <w:qFormat/>
    <w:rPr>
      <w:sz w:val="20"/>
    </w:rPr>
  </w:style>
  <w:style w:type="character" w:styleId="68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88">
    <w:name w:val="endnote reference"/>
    <w:rPr>
      <w:vertAlign w:val="superscript"/>
    </w:rPr>
  </w:style>
  <w:style w:type="character" w:styleId="689" w:customStyle="1">
    <w:name w:val="Нижний колонтитул Знак"/>
    <w:uiPriority w:val="99"/>
    <w:qFormat/>
  </w:style>
  <w:style w:type="character" w:styleId="690">
    <w:name w:val="Hyperlink"/>
    <w:uiPriority w:val="99"/>
    <w:unhideWhenUsed/>
    <w:rPr>
      <w:color w:val="0000ff"/>
      <w:u w:val="single"/>
    </w:rPr>
  </w:style>
  <w:style w:type="character" w:styleId="691" w:customStyle="1">
    <w:name w:val="Нижний колонтитул Знак1"/>
    <w:basedOn w:val="651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92" w:customStyle="1">
    <w:name w:val="Основной текст Знак"/>
    <w:basedOn w:val="651"/>
    <w:qFormat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693" w:customStyle="1">
    <w:name w:val="Текст Знак"/>
    <w:basedOn w:val="651"/>
    <w:link w:val="729"/>
    <w:qFormat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694">
    <w:name w:val="Emphasis"/>
    <w:qFormat/>
    <w:rPr>
      <w:i/>
      <w:iCs/>
    </w:rPr>
  </w:style>
  <w:style w:type="character" w:styleId="695" w:customStyle="1">
    <w:name w:val="Основной текст (2)"/>
    <w:basedOn w:val="651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19"/>
      <w:szCs w:val="19"/>
      <w:u w:val="none"/>
      <w:lang w:val="ru-RU" w:eastAsia="ru-RU" w:bidi="ru-RU"/>
    </w:rPr>
  </w:style>
  <w:style w:type="character" w:styleId="696" w:customStyle="1">
    <w:name w:val="Абзац списка Знак"/>
    <w:link w:val="730"/>
    <w:uiPriority w:val="34"/>
    <w:qFormat/>
  </w:style>
  <w:style w:type="character" w:styleId="697" w:customStyle="1">
    <w:name w:val="Текст выноски Знак"/>
    <w:basedOn w:val="651"/>
    <w:link w:val="731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698" w:customStyle="1">
    <w:name w:val="Верхний колонтитул Знак"/>
    <w:basedOn w:val="651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99">
    <w:name w:val="Line Number"/>
  </w:style>
  <w:style w:type="paragraph" w:styleId="700">
    <w:name w:val="Заголовок"/>
    <w:basedOn w:val="641"/>
    <w:next w:val="701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701">
    <w:name w:val="Body Text"/>
    <w:basedOn w:val="641"/>
    <w:link w:val="692"/>
    <w:pPr>
      <w:widowControl/>
    </w:pPr>
    <w:rPr>
      <w:sz w:val="26"/>
      <w:szCs w:val="26"/>
    </w:rPr>
  </w:style>
  <w:style w:type="paragraph" w:styleId="702">
    <w:name w:val="List"/>
    <w:basedOn w:val="701"/>
    <w:rPr>
      <w:rFonts w:cs="Lohit Devanagari"/>
    </w:rPr>
  </w:style>
  <w:style w:type="paragraph" w:styleId="703">
    <w:name w:val="Caption"/>
    <w:basedOn w:val="641"/>
    <w:next w:val="641"/>
    <w:link w:val="682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704">
    <w:name w:val="Указатель"/>
    <w:basedOn w:val="641"/>
    <w:qFormat/>
    <w:pPr>
      <w:suppressLineNumbers/>
    </w:pPr>
    <w:rPr>
      <w:rFonts w:cs="Lohit Devanagari"/>
    </w:rPr>
  </w:style>
  <w:style w:type="paragraph" w:styleId="705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06">
    <w:name w:val="Title"/>
    <w:basedOn w:val="641"/>
    <w:next w:val="641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07">
    <w:name w:val="Subtitle"/>
    <w:basedOn w:val="641"/>
    <w:next w:val="641"/>
    <w:link w:val="677"/>
    <w:uiPriority w:val="11"/>
    <w:qFormat/>
    <w:pPr>
      <w:spacing w:before="200" w:after="200"/>
    </w:pPr>
    <w:rPr>
      <w:sz w:val="24"/>
      <w:szCs w:val="24"/>
    </w:rPr>
  </w:style>
  <w:style w:type="paragraph" w:styleId="708">
    <w:name w:val="Quote"/>
    <w:basedOn w:val="641"/>
    <w:next w:val="641"/>
    <w:link w:val="678"/>
    <w:uiPriority w:val="29"/>
    <w:qFormat/>
    <w:pPr>
      <w:ind w:left="720" w:right="720" w:firstLine="0"/>
    </w:pPr>
    <w:rPr>
      <w:i/>
    </w:rPr>
  </w:style>
  <w:style w:type="paragraph" w:styleId="709">
    <w:name w:val="Intense Quote"/>
    <w:basedOn w:val="641"/>
    <w:next w:val="641"/>
    <w:link w:val="679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10">
    <w:name w:val="footnote text"/>
    <w:basedOn w:val="641"/>
    <w:link w:val="683"/>
    <w:uiPriority w:val="99"/>
    <w:semiHidden/>
    <w:unhideWhenUsed/>
    <w:pPr>
      <w:spacing w:before="0" w:after="40"/>
    </w:pPr>
    <w:rPr>
      <w:sz w:val="18"/>
    </w:rPr>
  </w:style>
  <w:style w:type="paragraph" w:styleId="711">
    <w:name w:val="endnote text"/>
    <w:basedOn w:val="641"/>
    <w:link w:val="686"/>
    <w:uiPriority w:val="99"/>
    <w:semiHidden/>
    <w:unhideWhenUsed/>
  </w:style>
  <w:style w:type="paragraph" w:styleId="712">
    <w:name w:val="toc 1"/>
    <w:basedOn w:val="641"/>
    <w:next w:val="641"/>
    <w:uiPriority w:val="39"/>
    <w:unhideWhenUsed/>
    <w:pPr>
      <w:spacing w:before="0" w:after="57"/>
    </w:pPr>
  </w:style>
  <w:style w:type="paragraph" w:styleId="713">
    <w:name w:val="toc 2"/>
    <w:basedOn w:val="641"/>
    <w:next w:val="641"/>
    <w:uiPriority w:val="39"/>
    <w:unhideWhenUsed/>
    <w:pPr>
      <w:ind w:left="283" w:firstLine="0"/>
      <w:spacing w:before="0" w:after="57"/>
    </w:pPr>
  </w:style>
  <w:style w:type="paragraph" w:styleId="714">
    <w:name w:val="toc 3"/>
    <w:basedOn w:val="641"/>
    <w:next w:val="641"/>
    <w:uiPriority w:val="39"/>
    <w:unhideWhenUsed/>
    <w:pPr>
      <w:ind w:left="567" w:firstLine="0"/>
      <w:spacing w:before="0" w:after="57"/>
    </w:pPr>
  </w:style>
  <w:style w:type="paragraph" w:styleId="715">
    <w:name w:val="toc 4"/>
    <w:basedOn w:val="641"/>
    <w:next w:val="641"/>
    <w:uiPriority w:val="39"/>
    <w:unhideWhenUsed/>
    <w:pPr>
      <w:ind w:left="850" w:firstLine="0"/>
      <w:spacing w:before="0" w:after="57"/>
    </w:pPr>
  </w:style>
  <w:style w:type="paragraph" w:styleId="716">
    <w:name w:val="toc 5"/>
    <w:basedOn w:val="641"/>
    <w:next w:val="641"/>
    <w:uiPriority w:val="39"/>
    <w:unhideWhenUsed/>
    <w:pPr>
      <w:ind w:left="1134" w:firstLine="0"/>
      <w:spacing w:before="0" w:after="57"/>
    </w:pPr>
  </w:style>
  <w:style w:type="paragraph" w:styleId="717">
    <w:name w:val="toc 6"/>
    <w:basedOn w:val="641"/>
    <w:next w:val="641"/>
    <w:uiPriority w:val="39"/>
    <w:unhideWhenUsed/>
    <w:pPr>
      <w:ind w:left="1417" w:firstLine="0"/>
      <w:spacing w:before="0" w:after="57"/>
    </w:pPr>
  </w:style>
  <w:style w:type="paragraph" w:styleId="718">
    <w:name w:val="toc 7"/>
    <w:basedOn w:val="641"/>
    <w:next w:val="641"/>
    <w:uiPriority w:val="39"/>
    <w:unhideWhenUsed/>
    <w:pPr>
      <w:ind w:left="1701" w:firstLine="0"/>
      <w:spacing w:before="0" w:after="57"/>
    </w:pPr>
  </w:style>
  <w:style w:type="paragraph" w:styleId="719">
    <w:name w:val="toc 8"/>
    <w:basedOn w:val="641"/>
    <w:next w:val="641"/>
    <w:uiPriority w:val="39"/>
    <w:unhideWhenUsed/>
    <w:pPr>
      <w:ind w:left="1984" w:firstLine="0"/>
      <w:spacing w:before="0" w:after="57"/>
    </w:pPr>
  </w:style>
  <w:style w:type="paragraph" w:styleId="720">
    <w:name w:val="toc 9"/>
    <w:basedOn w:val="641"/>
    <w:next w:val="641"/>
    <w:uiPriority w:val="39"/>
    <w:unhideWhenUsed/>
    <w:pPr>
      <w:ind w:left="2268" w:firstLine="0"/>
      <w:spacing w:before="0" w:after="57"/>
    </w:pPr>
  </w:style>
  <w:style w:type="paragraph" w:styleId="721">
    <w:name w:val="Index Heading"/>
    <w:basedOn w:val="700"/>
  </w:style>
  <w:style w:type="paragraph" w:styleId="722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23">
    <w:name w:val="table of figures"/>
    <w:basedOn w:val="641"/>
    <w:next w:val="641"/>
    <w:uiPriority w:val="99"/>
    <w:unhideWhenUsed/>
    <w:qFormat/>
  </w:style>
  <w:style w:type="paragraph" w:styleId="724">
    <w:name w:val="Колонтитул"/>
    <w:basedOn w:val="641"/>
    <w:qFormat/>
  </w:style>
  <w:style w:type="paragraph" w:styleId="725">
    <w:name w:val="Footer"/>
    <w:basedOn w:val="641"/>
    <w:link w:val="689"/>
    <w:uiPriority w:val="99"/>
    <w:pPr>
      <w:tabs>
        <w:tab w:val="clear" w:pos="708" w:leader="none"/>
        <w:tab w:val="center" w:pos="4677" w:leader="none"/>
        <w:tab w:val="right" w:pos="9355" w:leader="none"/>
      </w:tabs>
    </w:pPr>
    <w:rPr>
      <w:rFonts w:ascii="Calibri" w:hAnsi="Calibri" w:eastAsia="Calibri" w:cs="Arial" w:asciiTheme="minorHAnsi" w:hAnsiTheme="minorHAnsi" w:eastAsiaTheme="minorHAnsi" w:cstheme="minorBidi"/>
      <w:sz w:val="22"/>
      <w:szCs w:val="22"/>
      <w:lang w:eastAsia="en-US"/>
    </w:rPr>
  </w:style>
  <w:style w:type="paragraph" w:styleId="726" w:customStyle="1">
    <w:name w:val="ConsPlusNormal"/>
    <w:qFormat/>
    <w:pPr>
      <w:ind w:firstLine="720"/>
      <w:jc w:val="left"/>
      <w:spacing w:before="0" w:beforeAutospacing="0" w:after="0" w:afterAutospacing="0" w:line="240" w:lineRule="auto"/>
      <w:widowControl w:val="off"/>
    </w:pPr>
    <w:rPr>
      <w:rFonts w:ascii="Arial" w:hAnsi="Arial" w:eastAsia="Arial" w:cs="Times New Roman"/>
      <w:color w:val="auto"/>
      <w:sz w:val="20"/>
      <w:szCs w:val="20"/>
      <w:lang w:val="ru-RU" w:eastAsia="ar-SA" w:bidi="ar-SA"/>
    </w:rPr>
  </w:style>
  <w:style w:type="paragraph" w:styleId="727">
    <w:name w:val="List Number"/>
    <w:basedOn w:val="641"/>
    <w:qFormat/>
    <w:pPr>
      <w:ind w:left="502" w:hanging="360"/>
      <w:spacing w:before="120" w:after="0"/>
      <w:widowControl/>
      <w:tabs>
        <w:tab w:val="left" w:pos="502" w:leader="none"/>
        <w:tab w:val="clear" w:pos="708" w:leader="none"/>
      </w:tabs>
    </w:pPr>
    <w:rPr>
      <w:sz w:val="24"/>
      <w:lang w:eastAsia="en-US"/>
    </w:rPr>
  </w:style>
  <w:style w:type="paragraph" w:styleId="728" w:customStyle="1">
    <w:name w:val="Абзац списка;Алроса_маркер (Уровень 4);Маркер;ПАРАГРАФ;Абзац списка2"/>
    <w:basedOn w:val="641"/>
    <w:qFormat/>
    <w:pPr>
      <w:contextualSpacing/>
      <w:ind w:left="720" w:firstLine="0"/>
      <w:spacing w:before="0" w:after="0"/>
      <w:widowControl/>
    </w:pPr>
  </w:style>
  <w:style w:type="paragraph" w:styleId="729">
    <w:name w:val="Plain Text"/>
    <w:basedOn w:val="641"/>
    <w:link w:val="693"/>
    <w:qFormat/>
    <w:pPr>
      <w:widowControl/>
    </w:pPr>
    <w:rPr>
      <w:rFonts w:ascii="Courier New" w:hAnsi="Courier New"/>
    </w:rPr>
  </w:style>
  <w:style w:type="paragraph" w:styleId="730">
    <w:name w:val="List Paragraph"/>
    <w:basedOn w:val="641"/>
    <w:link w:val="696"/>
    <w:uiPriority w:val="34"/>
    <w:qFormat/>
    <w:pPr>
      <w:contextualSpacing/>
      <w:ind w:left="720" w:firstLine="0"/>
      <w:spacing w:before="0" w:after="16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sz w:val="22"/>
      <w:szCs w:val="22"/>
      <w:lang w:eastAsia="en-US"/>
    </w:rPr>
  </w:style>
  <w:style w:type="paragraph" w:styleId="731">
    <w:name w:val="Balloon Text"/>
    <w:basedOn w:val="641"/>
    <w:link w:val="69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732">
    <w:name w:val="Header"/>
    <w:basedOn w:val="641"/>
    <w:link w:val="698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33" w:customStyle="1">
    <w:name w:val="Текст примечания1"/>
    <w:uiPriority w:val="99"/>
    <w:unhideWhenUsed/>
    <w:qFormat/>
    <w:pPr>
      <w:jc w:val="both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zh-CN" w:bidi="ar-SA"/>
    </w:rPr>
  </w:style>
  <w:style w:type="paragraph" w:styleId="734" w:customStyle="1">
    <w:name w:val="Обычный + 11 pt"/>
    <w:basedOn w:val="709"/>
    <w:uiPriority w:val="99"/>
    <w:qFormat/>
    <w:pPr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u w:val="none"/>
      <w:vertAlign w:val="baseline"/>
      <w:lang w:val="ru-RU" w:eastAsia="ru-RU" w:bidi="ar-SA"/>
      <w14:ligatures w14:val="none"/>
    </w:rPr>
  </w:style>
  <w:style w:type="paragraph" w:styleId="735">
    <w:name w:val="Содержимое таблицы"/>
    <w:basedOn w:val="641"/>
    <w:qFormat/>
    <w:pPr>
      <w:widowControl w:val="off"/>
      <w:suppressLineNumbers/>
    </w:pPr>
  </w:style>
  <w:style w:type="paragraph" w:styleId="736">
    <w:name w:val="Заголовок таблицы"/>
    <w:basedOn w:val="735"/>
    <w:qFormat/>
    <w:pPr>
      <w:jc w:val="center"/>
      <w:suppressLineNumbers/>
    </w:pPr>
    <w:rPr>
      <w:b/>
      <w:bCs/>
    </w:rPr>
  </w:style>
  <w:style w:type="numbering" w:styleId="737" w:default="1">
    <w:name w:val="No List"/>
    <w:uiPriority w:val="99"/>
    <w:semiHidden/>
    <w:unhideWhenUsed/>
    <w:qFormat/>
  </w:style>
  <w:style w:type="table" w:styleId="738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Table Grid"/>
    <w:basedOn w:val="73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0" w:customStyle="1">
    <w:name w:val="Table Grid Light"/>
    <w:basedOn w:val="73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1">
    <w:name w:val="Plain Table 1"/>
    <w:basedOn w:val="73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42">
    <w:name w:val="Plain Table 2"/>
    <w:basedOn w:val="73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43">
    <w:name w:val="Plain Table 3"/>
    <w:basedOn w:val="7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44">
    <w:name w:val="Plain Table 4"/>
    <w:basedOn w:val="7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45">
    <w:name w:val="Plain Table 5"/>
    <w:basedOn w:val="7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6">
    <w:name w:val="Grid Table 1 Light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47" w:customStyle="1">
    <w:name w:val="Grid Table 1 Light - Accent 1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EC4E6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48" w:customStyle="1">
    <w:name w:val="Grid Table 1 Light - Accent 2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49" w:customStyle="1">
    <w:name w:val="Grid Table 1 Light - Accent 3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0" w:customStyle="1">
    <w:name w:val="Grid Table 1 Light - Accent 4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1" w:customStyle="1">
    <w:name w:val="Grid Table 1 Light - Accent 5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1ACDC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2" w:customStyle="1">
    <w:name w:val="Grid Table 1 Light - Accent 6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3">
    <w:name w:val="Grid Table 2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1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sz w:val="22"/>
      </w:rPr>
      <w:tcPr>
        <w:shd w:val="clear" w:color="ddeaf6" w:fill="ddeaf6" w:themeFill="accent1" w:themeFillTint="34"/>
      </w:tcPr>
    </w:tblStylePr>
    <w:tblStylePr w:type="band1Vert">
      <w:rPr>
        <w:sz w:val="22"/>
      </w:rPr>
      <w:tcPr>
        <w:shd w:val="clear" w:color="ddeaf6" w:fill="ddeaf6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2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3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4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5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6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1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sz w:val="22"/>
      </w:rPr>
      <w:tcPr>
        <w:shd w:val="clear" w:color="ddeaf6" w:fill="ddeaf6" w:themeFill="accent1" w:themeFillTint="34"/>
      </w:tcPr>
    </w:tblStylePr>
    <w:tblStylePr w:type="band1Vert">
      <w:rPr>
        <w:sz w:val="22"/>
      </w:rPr>
      <w:tcPr>
        <w:shd w:val="clear" w:color="ddeaf6" w:fill="ddeaf6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2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3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4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5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6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4"/>
    <w:basedOn w:val="73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68" w:customStyle="1">
    <w:name w:val="Grid Table 4 - Accent 1"/>
    <w:basedOn w:val="73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sz w:val="22"/>
      </w:rPr>
      <w:tcPr>
        <w:shd w:val="clear" w:color="deebf6" w:fill="deebf6" w:themeFill="accent1" w:themeFillTint="32"/>
      </w:tcPr>
    </w:tblStylePr>
    <w:tblStylePr w:type="band1Vert">
      <w:rPr>
        <w:sz w:val="22"/>
      </w:rPr>
      <w:tcPr>
        <w:shd w:val="clear" w:color="deebf6" w:fill="deebf6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68a2d8" w:fill="68a2d8" w:themeFill="accent1" w:themeFillTint="EA"/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68A2D8" w:themeColor="accent1" w:sz="4" w:space="0"/>
        </w:tcBorders>
      </w:tcPr>
    </w:tblStylePr>
  </w:style>
  <w:style w:type="table" w:styleId="769" w:customStyle="1">
    <w:name w:val="Grid Table 4 - Accent 2"/>
    <w:basedOn w:val="73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be5d6" w:fill="fbe5d6" w:themeFill="accent2" w:themeFillTint="32"/>
      </w:tcPr>
    </w:tblStylePr>
    <w:tblStylePr w:type="band1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4B184" w:themeColor="accent2" w:sz="4" w:space="0"/>
        </w:tcBorders>
      </w:tcPr>
    </w:tblStylePr>
  </w:style>
  <w:style w:type="table" w:styleId="770" w:customStyle="1">
    <w:name w:val="Grid Table 4 - Accent 3"/>
    <w:basedOn w:val="73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cecec" w:fill="ececec" w:themeFill="accent3" w:themeFillTint="34"/>
      </w:tcPr>
    </w:tblStylePr>
    <w:tblStylePr w:type="band1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</w:tcBorders>
      </w:tcPr>
    </w:tblStylePr>
  </w:style>
  <w:style w:type="table" w:styleId="771" w:customStyle="1">
    <w:name w:val="Grid Table 4 - Accent 4"/>
    <w:basedOn w:val="73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f2cb" w:fill="fff2cb" w:themeFill="accent4" w:themeFillTint="34"/>
      </w:tcPr>
    </w:tblStylePr>
    <w:tblStylePr w:type="band1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D865" w:themeColor="accent4" w:sz="4" w:space="0"/>
        </w:tcBorders>
      </w:tcPr>
    </w:tblStylePr>
  </w:style>
  <w:style w:type="table" w:styleId="772" w:customStyle="1">
    <w:name w:val="Grid Table 4 - Accent 5"/>
    <w:basedOn w:val="73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sz w:val="22"/>
      </w:rPr>
      <w:tcPr>
        <w:shd w:val="clear" w:color="d8e2f3" w:fill="d8e2f3" w:themeFill="accent5" w:themeFillTint="34"/>
      </w:tcPr>
    </w:tblStylePr>
    <w:tblStylePr w:type="band1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5" w:sz="4" w:space="0"/>
        </w:tcBorders>
      </w:tcPr>
    </w:tblStylePr>
  </w:style>
  <w:style w:type="table" w:styleId="773" w:customStyle="1">
    <w:name w:val="Grid Table 4 - Accent 6"/>
    <w:basedOn w:val="73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e1efd8" w:fill="e1efd8" w:themeFill="accent6" w:themeFillTint="34"/>
      </w:tcPr>
    </w:tblStylePr>
    <w:tblStylePr w:type="band1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</w:tcBorders>
      </w:tcPr>
    </w:tblStylePr>
  </w:style>
  <w:style w:type="table" w:styleId="774">
    <w:name w:val="Grid Table 5 Dark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- Accent 1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sz w:val="22"/>
      </w:rPr>
      <w:tcPr>
        <w:shd w:val="clear" w:color="5b9bd5" w:fill="5b9bd5" w:themeFill="accent1"/>
      </w:tc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  <w:sz w:val="22"/>
      </w:rPr>
      <w:tcPr>
        <w:shd w:val="clear" w:color="5b9bd5" w:fill="5b9bd5" w:themeFill="accent1"/>
      </w:tcPr>
    </w:tblStylePr>
    <w:tblStylePr w:type="lastRow">
      <w:rPr>
        <w:b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2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sz w:val="22"/>
      </w:rPr>
      <w:tcPr>
        <w:shd w:val="clear" w:color="ed7d31" w:fill="ed7d31" w:themeFill="accent2"/>
      </w:tc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  <w:sz w:val="22"/>
      </w:rPr>
      <w:tcPr>
        <w:shd w:val="clear" w:color="ed7d31" w:fill="ed7d31" w:themeFill="accent2"/>
      </w:tcPr>
    </w:tblStylePr>
    <w:tblStylePr w:type="lastRow">
      <w:rPr>
        <w:b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3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sz w:val="22"/>
      </w:rPr>
      <w:tcPr>
        <w:shd w:val="clear" w:color="a5a5a5" w:fill="a5a5a5" w:themeFill="accent3"/>
      </w:tc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  <w:sz w:val="22"/>
      </w:rPr>
      <w:tcPr>
        <w:shd w:val="clear" w:color="a5a5a5" w:fill="a5a5a5" w:themeFill="accent3"/>
      </w:tcPr>
    </w:tblStylePr>
    <w:tblStylePr w:type="lastRow">
      <w:rPr>
        <w:b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- Accent 4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sz w:val="22"/>
      </w:rPr>
      <w:tcPr>
        <w:shd w:val="clear" w:color="ffc000" w:fill="ffc000" w:themeFill="accent4"/>
      </w:tc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  <w:sz w:val="22"/>
      </w:rPr>
      <w:tcPr>
        <w:shd w:val="clear" w:color="ffc000" w:fill="ffc000" w:themeFill="accent4"/>
      </w:tcPr>
    </w:tblStylePr>
    <w:tblStylePr w:type="lastRow">
      <w:rPr>
        <w:b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 - Accent 5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sz w:val="22"/>
      </w:rPr>
      <w:tcPr>
        <w:shd w:val="clear" w:color="4472c4" w:fill="4472c4" w:themeFill="accent5"/>
      </w:tcPr>
    </w:tblStylePr>
    <w:tblStylePr w:type="firstRow">
      <w:rPr>
        <w:b/>
        <w:sz w:val="22"/>
      </w:rPr>
      <w:tcPr>
        <w:shd w:val="clear" w:color="4472c4" w:fill="4472c4" w:themeFill="accent5"/>
      </w:tcPr>
    </w:tblStylePr>
    <w:tblStylePr w:type="lastCol">
      <w:rPr>
        <w:b/>
        <w:sz w:val="22"/>
      </w:rPr>
      <w:tcPr>
        <w:shd w:val="clear" w:color="4472c4" w:fill="4472c4" w:themeFill="accent5"/>
      </w:tcPr>
    </w:tblStylePr>
    <w:tblStylePr w:type="lastRow">
      <w:rPr>
        <w:b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6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sz w:val="22"/>
      </w:rPr>
      <w:tcPr>
        <w:shd w:val="clear" w:color="70ad47" w:fill="70ad47" w:themeFill="accent6"/>
      </w:tc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  <w:sz w:val="22"/>
      </w:rPr>
      <w:tcPr>
        <w:shd w:val="clear" w:color="70ad47" w:fill="70ad47" w:themeFill="accent6"/>
      </w:tcPr>
    </w:tblStylePr>
    <w:tblStylePr w:type="lastRow">
      <w:rPr>
        <w:b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781">
    <w:name w:val="Grid Table 6 Colorful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</w:style>
  <w:style w:type="table" w:styleId="782" w:customStyle="1">
    <w:name w:val="Grid Table 6 Colorful - Accent 1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</w:style>
  <w:style w:type="table" w:styleId="783" w:customStyle="1">
    <w:name w:val="Grid Table 6 Colorful - Accent 2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</w:style>
  <w:style w:type="table" w:styleId="784" w:customStyle="1">
    <w:name w:val="Grid Table 6 Colorful - Accent 3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</w:style>
  <w:style w:type="table" w:styleId="785" w:customStyle="1">
    <w:name w:val="Grid Table 6 Colorful - Accent 4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</w:style>
  <w:style w:type="table" w:styleId="786" w:customStyle="1">
    <w:name w:val="Grid Table 6 Colorful - Accent 5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</w:style>
  <w:style w:type="table" w:styleId="787" w:customStyle="1">
    <w:name w:val="Grid Table 6 Colorful - Accent 6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</w:style>
  <w:style w:type="table" w:styleId="788">
    <w:name w:val="Grid Table 7 Colorful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1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ACCCEA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2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3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4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5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95AFD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6"/>
    <w:basedOn w:val="73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"/>
    <w:basedOn w:val="7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1"/>
    <w:basedOn w:val="7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2"/>
    <w:basedOn w:val="7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3"/>
    <w:basedOn w:val="7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4"/>
    <w:basedOn w:val="7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5"/>
    <w:basedOn w:val="7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6"/>
    <w:basedOn w:val="73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2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03" w:customStyle="1">
    <w:name w:val="List Table 2 - Accent 1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sz w:val="22"/>
      </w:rPr>
      <w:tcPr>
        <w:shd w:val="clear" w:color="d5e5f4" w:fill="d5e5f4" w:themeFill="accent1" w:themeFillTint="40"/>
      </w:tcPr>
    </w:tblStylePr>
    <w:tblStylePr w:type="band1Vert">
      <w:rPr>
        <w:sz w:val="22"/>
      </w:rPr>
      <w:tcPr>
        <w:shd w:val="clear" w:color="d5e5f4" w:fill="d5e5f4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styleId="804" w:customStyle="1">
    <w:name w:val="List Table 2 - Accent 2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805" w:customStyle="1">
    <w:name w:val="List Table 2 - Accent 3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806" w:customStyle="1">
    <w:name w:val="List Table 2 - Accent 4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807" w:customStyle="1">
    <w:name w:val="List Table 2 - Accent 5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sz w:val="22"/>
      </w:rPr>
      <w:tcPr>
        <w:shd w:val="clear" w:color="cfdbf0" w:fill="cfdbf0" w:themeFill="accent5" w:themeFillTint="40"/>
      </w:tcPr>
    </w:tblStylePr>
    <w:tblStylePr w:type="band1Vert">
      <w:rPr>
        <w:sz w:val="22"/>
      </w:rPr>
      <w:tcPr>
        <w:shd w:val="clear" w:color="cfdbf0" w:fill="cfdb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styleId="808" w:customStyle="1">
    <w:name w:val="List Table 2 - Accent 6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809">
    <w:name w:val="List Table 3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0" w:customStyle="1">
    <w:name w:val="List Table 3 - Accent 1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1" w:customStyle="1">
    <w:name w:val="List Table 3 - Accent 2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4b184" w:fill="f4b18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2" w:customStyle="1">
    <w:name w:val="List Table 3 - Accent 3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9c9c9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3" w:customStyle="1">
    <w:name w:val="List Table 3 - Accent 4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d865" w:fill="ffd865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4" w:customStyle="1">
    <w:name w:val="List Table 3 - Accent 5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sz w:val="22"/>
      </w:rPr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da9db" w:fill="8da9db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5" w:customStyle="1">
    <w:name w:val="List Table 3 - Accent 6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9d08e" w:fill="a9d08e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6">
    <w:name w:val="List Table 4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7" w:customStyle="1">
    <w:name w:val="List Table 4 - Accent 1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sz w:val="22"/>
      </w:rPr>
      <w:tcPr>
        <w:shd w:val="clear" w:color="d5e5f4" w:fill="d5e5f4" w:themeFill="accent1" w:themeFillTint="40"/>
      </w:tcPr>
    </w:tblStylePr>
    <w:tblStylePr w:type="band1Vert">
      <w:rPr>
        <w:sz w:val="22"/>
      </w:rPr>
      <w:tcPr>
        <w:shd w:val="clear" w:color="d5e5f4" w:fill="d5e5f4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5b9bd5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8" w:customStyle="1">
    <w:name w:val="List Table 4 - Accent 2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sz w:val="22"/>
      </w:rPr>
      <w:tcPr>
        <w:shd w:val="clear" w:color="fadecb" w:fill="fadecb" w:themeFill="accent2" w:themeFillTint="40"/>
      </w:tcPr>
    </w:tblStylePr>
    <w:tblStylePr w:type="band1Vert">
      <w:rPr>
        <w:sz w:val="22"/>
      </w:rPr>
      <w:tcPr>
        <w:shd w:val="clear" w:color="fadecb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ed7d31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19" w:customStyle="1">
    <w:name w:val="List Table 4 - Accent 3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sz w:val="22"/>
      </w:rPr>
      <w:tcPr>
        <w:shd w:val="clear" w:color="e8e8e8" w:fill="e8e8e8" w:themeFill="accent3" w:themeFillTint="40"/>
      </w:tcPr>
    </w:tblStylePr>
    <w:tblStylePr w:type="band1Vert">
      <w:rPr>
        <w:sz w:val="22"/>
      </w:rPr>
      <w:tcPr>
        <w:shd w:val="clear" w:color="e8e8e8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a5a5a5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0" w:customStyle="1">
    <w:name w:val="List Table 4 - Accent 4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sz w:val="22"/>
      </w:rPr>
      <w:tcPr>
        <w:shd w:val="clear" w:color="ffefbf" w:fill="ffefbf" w:themeFill="accent4" w:themeFillTint="40"/>
      </w:tcPr>
    </w:tblStylePr>
    <w:tblStylePr w:type="band1Vert">
      <w:rPr>
        <w:sz w:val="22"/>
      </w:rPr>
      <w:tcPr>
        <w:shd w:val="clear" w:color="ffefb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c000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1" w:customStyle="1">
    <w:name w:val="List Table 4 - Accent 5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sz w:val="22"/>
      </w:rPr>
      <w:tcPr>
        <w:shd w:val="clear" w:color="cfdbf0" w:fill="cfdbf0" w:themeFill="accent5" w:themeFillTint="40"/>
      </w:tcPr>
    </w:tblStylePr>
    <w:tblStylePr w:type="band1Vert">
      <w:rPr>
        <w:sz w:val="22"/>
      </w:rPr>
      <w:tcPr>
        <w:shd w:val="clear" w:color="cfdbf0" w:fill="cfdb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472c4" w:fill="4472c4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2" w:customStyle="1">
    <w:name w:val="List Table 4 - Accent 6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sz w:val="22"/>
      </w:rPr>
      <w:tcPr>
        <w:shd w:val="clear" w:color="daebcf" w:fill="daebcf" w:themeFill="accent6" w:themeFillTint="40"/>
      </w:tcPr>
    </w:tblStylePr>
    <w:tblStylePr w:type="band1Vert">
      <w:rPr>
        <w:sz w:val="22"/>
      </w:rPr>
      <w:tcPr>
        <w:shd w:val="clear" w:color="daebcf" w:fill="daebcf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70ad47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23">
    <w:name w:val="List Table 5 Dark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4" w:customStyle="1">
    <w:name w:val="List Table 5 Dark - Accent 1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5" w:customStyle="1">
    <w:name w:val="List Table 5 Dark - Accent 2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6" w:customStyle="1">
    <w:name w:val="List Table 5 Dark - Accent 3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7" w:customStyle="1">
    <w:name w:val="List Table 5 Dark - Accent 4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8" w:customStyle="1">
    <w:name w:val="List Table 5 Dark - Accent 5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8DA9DB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9" w:customStyle="1">
    <w:name w:val="List Table 5 Dark - Accent 6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30">
    <w:name w:val="List Table 6 Colorful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31" w:customStyle="1">
    <w:name w:val="List Table 6 Colorful - Accent 1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2" w:customStyle="1">
    <w:name w:val="List Table 6 Colorful - Accent 2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833" w:customStyle="1">
    <w:name w:val="List Table 6 Colorful - Accent 3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834" w:customStyle="1">
    <w:name w:val="List Table 6 Colorful - Accent 4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835" w:customStyle="1">
    <w:name w:val="List Table 6 Colorful - Accent 5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8DA9DB" w:themeColor="accent5" w:sz="4" w:space="0"/>
        </w:tcBorders>
      </w:tcPr>
    </w:tblStylePr>
  </w:style>
  <w:style w:type="table" w:styleId="836" w:customStyle="1">
    <w:name w:val="List Table 6 Colorful - Accent 6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837">
    <w:name w:val="List Table 7 Colorful"/>
    <w:basedOn w:val="73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1"/>
    <w:basedOn w:val="73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2"/>
    <w:basedOn w:val="73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3"/>
    <w:basedOn w:val="73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4"/>
    <w:basedOn w:val="73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5"/>
    <w:basedOn w:val="73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8DA9D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6"/>
    <w:basedOn w:val="73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ned - Accent"/>
    <w:basedOn w:val="73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45" w:customStyle="1">
    <w:name w:val="Lined - Accent 1"/>
    <w:basedOn w:val="73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bdff1" w:fill="cbdff1" w:themeFill="accent1" w:themeFillTint="50"/>
      </w:tcPr>
    </w:tblStylePr>
    <w:tblStylePr w:type="band2Vert">
      <w:rPr>
        <w:sz w:val="22"/>
      </w:rPr>
      <w:tcPr>
        <w:shd w:val="clear" w:color="cbdff1" w:fill="cbdff1" w:themeFill="accent1" w:themeFillTint="50"/>
      </w:tcPr>
    </w:tblStylePr>
    <w:tblStylePr w:type="firstCol">
      <w:rPr>
        <w:sz w:val="22"/>
      </w:rPr>
      <w:tcPr>
        <w:shd w:val="clear" w:color="68a2d8" w:fill="68a2d8" w:themeFill="accent1" w:themeFillTint="EA"/>
      </w:tcPr>
    </w:tblStylePr>
    <w:tblStylePr w:type="firstRow">
      <w:rPr>
        <w:sz w:val="22"/>
      </w:rPr>
      <w:tcPr>
        <w:shd w:val="clear" w:color="68a2d8" w:fill="68a2d8" w:themeFill="accent1" w:themeFillTint="EA"/>
      </w:tcPr>
    </w:tblStylePr>
    <w:tblStylePr w:type="lastCol">
      <w:rPr>
        <w:sz w:val="22"/>
      </w:rPr>
      <w:tcPr>
        <w:shd w:val="clear" w:color="68a2d8" w:fill="68a2d8" w:themeFill="accent1" w:themeFillTint="EA"/>
      </w:tcPr>
    </w:tblStylePr>
    <w:tblStylePr w:type="lastRow">
      <w:rPr>
        <w:sz w:val="22"/>
      </w:rPr>
      <w:tcPr>
        <w:shd w:val="clear" w:color="68a2d8" w:fill="68a2d8" w:themeFill="accent1" w:themeFillTint="EA"/>
      </w:tcPr>
    </w:tblStylePr>
  </w:style>
  <w:style w:type="table" w:styleId="846" w:customStyle="1">
    <w:name w:val="Lined - Accent 2"/>
    <w:basedOn w:val="73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847" w:customStyle="1">
    <w:name w:val="Lined - Accent 3"/>
    <w:basedOn w:val="73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848" w:customStyle="1">
    <w:name w:val="Lined - Accent 4"/>
    <w:basedOn w:val="73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849" w:customStyle="1">
    <w:name w:val="Lined - Accent 5"/>
    <w:basedOn w:val="73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8e2f3" w:fill="d8e2f3" w:themeFill="accent5" w:themeFillTint="34"/>
      </w:tcPr>
    </w:tblStylePr>
    <w:tblStylePr w:type="band2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sz w:val="22"/>
      </w:rPr>
      <w:tcPr>
        <w:shd w:val="clear" w:color="4472c4" w:fill="4472c4" w:themeFill="accent5"/>
      </w:tcPr>
    </w:tblStylePr>
    <w:tblStylePr w:type="firstRow">
      <w:rPr>
        <w:sz w:val="22"/>
      </w:rPr>
      <w:tcPr>
        <w:shd w:val="clear" w:color="4472c4" w:fill="4472c4" w:themeFill="accent5"/>
      </w:tcPr>
    </w:tblStylePr>
    <w:tblStylePr w:type="lastCol">
      <w:rPr>
        <w:sz w:val="22"/>
      </w:rPr>
      <w:tcPr>
        <w:shd w:val="clear" w:color="4472c4" w:fill="4472c4" w:themeFill="accent5"/>
      </w:tcPr>
    </w:tblStylePr>
    <w:tblStylePr w:type="lastRow">
      <w:rPr>
        <w:sz w:val="22"/>
      </w:rPr>
      <w:tcPr>
        <w:shd w:val="clear" w:color="4472c4" w:fill="4472c4" w:themeFill="accent5"/>
      </w:tcPr>
    </w:tblStylePr>
  </w:style>
  <w:style w:type="table" w:styleId="850" w:customStyle="1">
    <w:name w:val="Lined - Accent 6"/>
    <w:basedOn w:val="73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851" w:customStyle="1">
    <w:name w:val="Bordered &amp; Lined - Accent"/>
    <w:basedOn w:val="73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52" w:customStyle="1">
    <w:name w:val="Bordered &amp; Lined - Accent 1"/>
    <w:basedOn w:val="73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bdff1" w:fill="cbdff1" w:themeFill="accent1" w:themeFillTint="50"/>
      </w:tcPr>
    </w:tblStylePr>
    <w:tblStylePr w:type="band2Vert">
      <w:rPr>
        <w:sz w:val="22"/>
      </w:rPr>
      <w:tcPr>
        <w:shd w:val="clear" w:color="cbdff1" w:fill="cbdff1" w:themeFill="accent1" w:themeFillTint="50"/>
      </w:tcPr>
    </w:tblStylePr>
    <w:tblStylePr w:type="firstCol">
      <w:rPr>
        <w:sz w:val="22"/>
      </w:rPr>
      <w:tcPr>
        <w:shd w:val="clear" w:color="68a2d8" w:fill="68a2d8" w:themeFill="accent1" w:themeFillTint="EA"/>
      </w:tcPr>
    </w:tblStylePr>
    <w:tblStylePr w:type="firstRow">
      <w:rPr>
        <w:sz w:val="22"/>
      </w:rPr>
      <w:tcPr>
        <w:shd w:val="clear" w:color="68a2d8" w:fill="68a2d8" w:themeFill="accent1" w:themeFillTint="EA"/>
      </w:tcPr>
    </w:tblStylePr>
    <w:tblStylePr w:type="lastCol">
      <w:rPr>
        <w:sz w:val="22"/>
      </w:rPr>
      <w:tcPr>
        <w:shd w:val="clear" w:color="68a2d8" w:fill="68a2d8" w:themeFill="accent1" w:themeFillTint="EA"/>
      </w:tcPr>
    </w:tblStylePr>
    <w:tblStylePr w:type="lastRow">
      <w:rPr>
        <w:sz w:val="22"/>
      </w:rPr>
      <w:tcPr>
        <w:shd w:val="clear" w:color="68a2d8" w:fill="68a2d8" w:themeFill="accent1" w:themeFillTint="EA"/>
      </w:tcPr>
    </w:tblStylePr>
  </w:style>
  <w:style w:type="table" w:styleId="853" w:customStyle="1">
    <w:name w:val="Bordered &amp; Lined - Accent 2"/>
    <w:basedOn w:val="73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be5d6" w:fill="fbe5d6" w:themeFill="accent2" w:themeFillTint="32"/>
      </w:tcPr>
    </w:tblStylePr>
    <w:tblStylePr w:type="band2Vert">
      <w:rPr>
        <w:sz w:val="22"/>
      </w:rPr>
      <w:tcPr>
        <w:shd w:val="clear" w:color="fbe5d6" w:fill="fbe5d6" w:themeFill="accent2" w:themeFillTint="32"/>
      </w:tcPr>
    </w:tblStylePr>
    <w:tblStylePr w:type="firstCol">
      <w:rPr>
        <w:sz w:val="22"/>
      </w:rPr>
      <w:tcPr>
        <w:shd w:val="clear" w:color="f4b184" w:fill="f4b184" w:themeFill="accent2" w:themeFillTint="97"/>
      </w:tcPr>
    </w:tblStylePr>
    <w:tblStylePr w:type="firstRow">
      <w:rPr>
        <w:sz w:val="22"/>
      </w:rPr>
      <w:tcPr>
        <w:shd w:val="clear" w:color="f4b184" w:fill="f4b184" w:themeFill="accent2" w:themeFillTint="97"/>
      </w:tcPr>
    </w:tblStylePr>
    <w:tblStylePr w:type="lastCol">
      <w:rPr>
        <w:sz w:val="22"/>
      </w:rPr>
      <w:tcPr>
        <w:shd w:val="clear" w:color="f4b184" w:fill="f4b184" w:themeFill="accent2" w:themeFillTint="97"/>
      </w:tcPr>
    </w:tblStylePr>
    <w:tblStylePr w:type="lastRow">
      <w:rPr>
        <w:sz w:val="22"/>
      </w:rPr>
      <w:tcPr>
        <w:shd w:val="clear" w:color="f4b184" w:fill="f4b184" w:themeFill="accent2" w:themeFillTint="97"/>
      </w:tcPr>
    </w:tblStylePr>
  </w:style>
  <w:style w:type="table" w:styleId="854" w:customStyle="1">
    <w:name w:val="Bordered &amp; Lined - Accent 3"/>
    <w:basedOn w:val="73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cecec" w:fill="ececec" w:themeFill="accent3" w:themeFillTint="34"/>
      </w:tcPr>
    </w:tblStylePr>
    <w:tblStylePr w:type="band2Vert">
      <w:rPr>
        <w:sz w:val="22"/>
      </w:rPr>
      <w:tcPr>
        <w:shd w:val="clear" w:color="ececec" w:fill="ececec" w:themeFill="accent3" w:themeFillTint="34"/>
      </w:tcPr>
    </w:tblStylePr>
    <w:tblStylePr w:type="firstCol">
      <w:rPr>
        <w:sz w:val="22"/>
      </w:rPr>
      <w:tcPr>
        <w:shd w:val="clear" w:color="a5a5a5" w:fill="a5a5a5" w:themeFill="accent3" w:themeFillTint="FE"/>
      </w:tcPr>
    </w:tblStylePr>
    <w:tblStylePr w:type="firstRow">
      <w:rPr>
        <w:sz w:val="22"/>
      </w:rPr>
      <w:tcPr>
        <w:shd w:val="clear" w:color="a5a5a5" w:fill="a5a5a5" w:themeFill="accent3" w:themeFillTint="FE"/>
      </w:tcPr>
    </w:tblStylePr>
    <w:tblStylePr w:type="lastCol">
      <w:rPr>
        <w:sz w:val="22"/>
      </w:rPr>
      <w:tcPr>
        <w:shd w:val="clear" w:color="a5a5a5" w:fill="a5a5a5" w:themeFill="accent3" w:themeFillTint="FE"/>
      </w:tcPr>
    </w:tblStylePr>
    <w:tblStylePr w:type="lastRow">
      <w:rPr>
        <w:sz w:val="22"/>
      </w:rPr>
      <w:tcPr>
        <w:shd w:val="clear" w:color="a5a5a5" w:fill="a5a5a5" w:themeFill="accent3" w:themeFillTint="FE"/>
      </w:tcPr>
    </w:tblStylePr>
  </w:style>
  <w:style w:type="table" w:styleId="855" w:customStyle="1">
    <w:name w:val="Bordered &amp; Lined - Accent 4"/>
    <w:basedOn w:val="73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2cb" w:fill="fff2cb" w:themeFill="accent4" w:themeFillTint="34"/>
      </w:tcPr>
    </w:tblStylePr>
    <w:tblStylePr w:type="band2Vert">
      <w:rPr>
        <w:sz w:val="22"/>
      </w:rPr>
      <w:tcPr>
        <w:shd w:val="clear" w:color="fff2cb" w:fill="fff2cb" w:themeFill="accent4" w:themeFillTint="34"/>
      </w:tcPr>
    </w:tblStylePr>
    <w:tblStylePr w:type="firstCol">
      <w:rPr>
        <w:sz w:val="22"/>
      </w:rPr>
      <w:tcPr>
        <w:shd w:val="clear" w:color="ffd865" w:fill="ffd865" w:themeFill="accent4" w:themeFillTint="9A"/>
      </w:tcPr>
    </w:tblStylePr>
    <w:tblStylePr w:type="firstRow">
      <w:rPr>
        <w:sz w:val="22"/>
      </w:rPr>
      <w:tcPr>
        <w:shd w:val="clear" w:color="ffd865" w:fill="ffd865" w:themeFill="accent4" w:themeFillTint="9A"/>
      </w:tcPr>
    </w:tblStylePr>
    <w:tblStylePr w:type="lastCol">
      <w:rPr>
        <w:sz w:val="22"/>
      </w:rPr>
      <w:tcPr>
        <w:shd w:val="clear" w:color="ffd865" w:fill="ffd865" w:themeFill="accent4" w:themeFillTint="9A"/>
      </w:tcPr>
    </w:tblStylePr>
    <w:tblStylePr w:type="lastRow">
      <w:rPr>
        <w:sz w:val="22"/>
      </w:rPr>
      <w:tcPr>
        <w:shd w:val="clear" w:color="ffd865" w:fill="ffd865" w:themeFill="accent4" w:themeFillTint="9A"/>
      </w:tcPr>
    </w:tblStylePr>
  </w:style>
  <w:style w:type="table" w:styleId="856" w:customStyle="1">
    <w:name w:val="Bordered &amp; Lined - Accent 5"/>
    <w:basedOn w:val="73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8e2f3" w:fill="d8e2f3" w:themeFill="accent5" w:themeFillTint="34"/>
      </w:tcPr>
    </w:tblStylePr>
    <w:tblStylePr w:type="band2Vert">
      <w:rPr>
        <w:sz w:val="22"/>
      </w:rPr>
      <w:tcPr>
        <w:shd w:val="clear" w:color="d8e2f3" w:fill="d8e2f3" w:themeFill="accent5" w:themeFillTint="34"/>
      </w:tcPr>
    </w:tblStylePr>
    <w:tblStylePr w:type="firstCol">
      <w:rPr>
        <w:sz w:val="22"/>
      </w:rPr>
      <w:tcPr>
        <w:shd w:val="clear" w:color="4472c4" w:fill="4472c4" w:themeFill="accent5"/>
      </w:tcPr>
    </w:tblStylePr>
    <w:tblStylePr w:type="firstRow">
      <w:rPr>
        <w:sz w:val="22"/>
      </w:rPr>
      <w:tcPr>
        <w:shd w:val="clear" w:color="4472c4" w:fill="4472c4" w:themeFill="accent5"/>
      </w:tcPr>
    </w:tblStylePr>
    <w:tblStylePr w:type="lastCol">
      <w:rPr>
        <w:sz w:val="22"/>
      </w:rPr>
      <w:tcPr>
        <w:shd w:val="clear" w:color="4472c4" w:fill="4472c4" w:themeFill="accent5"/>
      </w:tcPr>
    </w:tblStylePr>
    <w:tblStylePr w:type="lastRow">
      <w:rPr>
        <w:sz w:val="22"/>
      </w:rPr>
      <w:tcPr>
        <w:shd w:val="clear" w:color="4472c4" w:fill="4472c4" w:themeFill="accent5"/>
      </w:tcPr>
    </w:tblStylePr>
  </w:style>
  <w:style w:type="table" w:styleId="857" w:customStyle="1">
    <w:name w:val="Bordered &amp; Lined - Accent 6"/>
    <w:basedOn w:val="738"/>
    <w:uiPriority w:val="99"/>
    <w:pPr>
      <w:spacing w:after="0" w:line="240" w:lineRule="auto"/>
    </w:pPr>
    <w:rPr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1efd8" w:fill="e1efd8" w:themeFill="accent6" w:themeFillTint="34"/>
      </w:tcPr>
    </w:tblStylePr>
    <w:tblStylePr w:type="band2Vert">
      <w:rPr>
        <w:sz w:val="22"/>
      </w:rPr>
      <w:tcPr>
        <w:shd w:val="clear" w:color="e1efd8" w:fill="e1efd8" w:themeFill="accent6" w:themeFillTint="34"/>
      </w:tcPr>
    </w:tblStylePr>
    <w:tblStylePr w:type="firstCol">
      <w:rPr>
        <w:sz w:val="22"/>
      </w:rPr>
      <w:tcPr>
        <w:shd w:val="clear" w:color="70ad47" w:fill="70ad47" w:themeFill="accent6"/>
      </w:tcPr>
    </w:tblStylePr>
    <w:tblStylePr w:type="firstRow">
      <w:rPr>
        <w:sz w:val="22"/>
      </w:rPr>
      <w:tcPr>
        <w:shd w:val="clear" w:color="70ad47" w:fill="70ad47" w:themeFill="accent6"/>
      </w:tcPr>
    </w:tblStylePr>
    <w:tblStylePr w:type="lastCol">
      <w:rPr>
        <w:sz w:val="22"/>
      </w:rPr>
      <w:tcPr>
        <w:shd w:val="clear" w:color="70ad47" w:fill="70ad47" w:themeFill="accent6"/>
      </w:tcPr>
    </w:tblStylePr>
    <w:tblStylePr w:type="lastRow">
      <w:rPr>
        <w:sz w:val="22"/>
      </w:rPr>
      <w:tcPr>
        <w:shd w:val="clear" w:color="70ad47" w:fill="70ad47" w:themeFill="accent6"/>
      </w:tcPr>
    </w:tblStylePr>
  </w:style>
  <w:style w:type="table" w:styleId="858" w:customStyle="1">
    <w:name w:val="Bordered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859" w:customStyle="1">
    <w:name w:val="Bordered - Accent 1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0" w:customStyle="1">
    <w:name w:val="Bordered - Accent 2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861" w:customStyle="1">
    <w:name w:val="Bordered - Accent 3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862" w:customStyle="1">
    <w:name w:val="Bordered - Accent 4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863" w:customStyle="1">
    <w:name w:val="Bordered - Accent 5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8DA9DB" w:themeColor="accent5" w:sz="12" w:space="0"/>
        </w:tcBorders>
      </w:tcPr>
    </w:tblStylePr>
    <w:tblStylePr w:type="lastCol">
      <w:rPr>
        <w:sz w:val="22"/>
      </w:rPr>
      <w:tcPr>
        <w:tcBorders>
          <w:left w:val="single" w:color="8DA9DB" w:themeColor="accent5" w:sz="12" w:space="0"/>
        </w:tcBorders>
      </w:tcPr>
    </w:tblStylePr>
    <w:tblStylePr w:type="lastRow">
      <w:rPr>
        <w:sz w:val="22"/>
      </w:rPr>
      <w:tcPr>
        <w:tcBorders>
          <w:top w:val="single" w:color="8DA9DB" w:themeColor="accent5" w:sz="12" w:space="0"/>
        </w:tcBorders>
      </w:tcPr>
    </w:tblStylePr>
  </w:style>
  <w:style w:type="table" w:styleId="864" w:customStyle="1">
    <w:name w:val="Bordered - Accent 6"/>
    <w:basedOn w:val="73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sz w:val="22"/>
      </w:rPr>
      <w:tcPr>
        <w:tcBorders>
          <w:top w:val="single" w:color="A9D08E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Загузова Юлия Сергеевна</dc:creator>
  <dc:description/>
  <dc:language>ru-RU</dc:language>
  <cp:lastModifiedBy>timoshenko-sa</cp:lastModifiedBy>
  <cp:revision>22</cp:revision>
  <dcterms:created xsi:type="dcterms:W3CDTF">2025-04-04T03:01:00Z</dcterms:created>
  <dcterms:modified xsi:type="dcterms:W3CDTF">2026-03-13T05:47:57Z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